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2A1AA" w14:textId="77777777" w:rsidR="0049273A" w:rsidRPr="000548BD" w:rsidRDefault="0049273A" w:rsidP="0049273A">
      <w:pPr>
        <w:autoSpaceDE w:val="0"/>
        <w:autoSpaceDN w:val="0"/>
        <w:adjustRightInd w:val="0"/>
        <w:rPr>
          <w:b/>
        </w:rPr>
      </w:pPr>
      <w:r w:rsidRPr="000548BD">
        <w:rPr>
          <w:b/>
        </w:rPr>
        <w:t>NOTICE:  THIS DOCUMENT CONTAINS SENSITIVE DATA</w:t>
      </w:r>
    </w:p>
    <w:p w14:paraId="1AE0C762" w14:textId="77777777" w:rsidR="0049273A" w:rsidRPr="000548BD" w:rsidRDefault="0049273A" w:rsidP="0049273A">
      <w:pPr>
        <w:autoSpaceDE w:val="0"/>
        <w:autoSpaceDN w:val="0"/>
        <w:adjustRightInd w:val="0"/>
        <w:rPr>
          <w:b/>
        </w:rPr>
      </w:pPr>
    </w:p>
    <w:p w14:paraId="3C4DBF29" w14:textId="77777777" w:rsidR="0049273A" w:rsidRPr="000548BD" w:rsidRDefault="0049273A" w:rsidP="0049273A">
      <w:pPr>
        <w:autoSpaceDE w:val="0"/>
        <w:autoSpaceDN w:val="0"/>
        <w:adjustRightInd w:val="0"/>
        <w:jc w:val="center"/>
        <w:rPr>
          <w:b/>
        </w:rPr>
      </w:pPr>
      <w:r w:rsidRPr="000548BD">
        <w:rPr>
          <w:b/>
        </w:rPr>
        <w:t>NO. 43,647</w:t>
      </w:r>
    </w:p>
    <w:p w14:paraId="0DAB6974" w14:textId="77777777" w:rsidR="0049273A" w:rsidRPr="000548BD" w:rsidRDefault="0049273A" w:rsidP="0049273A">
      <w:pPr>
        <w:autoSpaceDE w:val="0"/>
        <w:autoSpaceDN w:val="0"/>
        <w:adjustRightInd w:val="0"/>
        <w:rPr>
          <w:b/>
        </w:rPr>
      </w:pPr>
    </w:p>
    <w:tbl>
      <w:tblPr>
        <w:tblW w:w="0" w:type="auto"/>
        <w:tblInd w:w="-108" w:type="dxa"/>
        <w:tblLook w:val="04A0" w:firstRow="1" w:lastRow="0" w:firstColumn="1" w:lastColumn="0" w:noHBand="0" w:noVBand="1"/>
      </w:tblPr>
      <w:tblGrid>
        <w:gridCol w:w="4285"/>
        <w:gridCol w:w="1077"/>
        <w:gridCol w:w="3998"/>
      </w:tblGrid>
      <w:tr w:rsidR="0049273A" w:rsidRPr="000548BD" w14:paraId="1DC86431" w14:textId="77777777" w:rsidTr="00AA7E64">
        <w:tc>
          <w:tcPr>
            <w:tcW w:w="4285" w:type="dxa"/>
            <w:tcBorders>
              <w:top w:val="nil"/>
              <w:left w:val="nil"/>
              <w:bottom w:val="nil"/>
              <w:right w:val="nil"/>
            </w:tcBorders>
          </w:tcPr>
          <w:p w14:paraId="03F94DA7" w14:textId="77777777" w:rsidR="0049273A" w:rsidRPr="000548BD" w:rsidRDefault="0049273A" w:rsidP="00AA7E64">
            <w:pPr>
              <w:autoSpaceDE w:val="0"/>
              <w:autoSpaceDN w:val="0"/>
              <w:adjustRightInd w:val="0"/>
              <w:rPr>
                <w:b/>
              </w:rPr>
            </w:pPr>
            <w:r w:rsidRPr="000548BD">
              <w:rPr>
                <w:b/>
              </w:rPr>
              <w:t>IN THE MATTER OF</w:t>
            </w:r>
          </w:p>
        </w:tc>
        <w:tc>
          <w:tcPr>
            <w:tcW w:w="1077" w:type="dxa"/>
            <w:tcBorders>
              <w:top w:val="nil"/>
              <w:left w:val="nil"/>
              <w:bottom w:val="nil"/>
              <w:right w:val="nil"/>
            </w:tcBorders>
          </w:tcPr>
          <w:p w14:paraId="0E24B03A" w14:textId="77777777" w:rsidR="0049273A" w:rsidRPr="000548BD" w:rsidRDefault="0049273A" w:rsidP="00AA7E64">
            <w:pPr>
              <w:autoSpaceDE w:val="0"/>
              <w:autoSpaceDN w:val="0"/>
              <w:adjustRightInd w:val="0"/>
              <w:jc w:val="center"/>
              <w:rPr>
                <w:b/>
              </w:rPr>
            </w:pPr>
            <w:r w:rsidRPr="000548BD">
              <w:rPr>
                <w:b/>
              </w:rPr>
              <w:t>§</w:t>
            </w:r>
          </w:p>
        </w:tc>
        <w:tc>
          <w:tcPr>
            <w:tcW w:w="3998" w:type="dxa"/>
            <w:tcBorders>
              <w:top w:val="nil"/>
              <w:left w:val="nil"/>
              <w:bottom w:val="nil"/>
              <w:right w:val="nil"/>
            </w:tcBorders>
          </w:tcPr>
          <w:p w14:paraId="30894929" w14:textId="77777777" w:rsidR="0049273A" w:rsidRPr="000548BD" w:rsidRDefault="0049273A" w:rsidP="00AA7E64">
            <w:pPr>
              <w:autoSpaceDE w:val="0"/>
              <w:autoSpaceDN w:val="0"/>
              <w:adjustRightInd w:val="0"/>
              <w:rPr>
                <w:b/>
              </w:rPr>
            </w:pPr>
            <w:r w:rsidRPr="000548BD">
              <w:rPr>
                <w:b/>
              </w:rPr>
              <w:t>IN THE DISTRICT COURT</w:t>
            </w:r>
          </w:p>
        </w:tc>
      </w:tr>
      <w:tr w:rsidR="0049273A" w:rsidRPr="000548BD" w14:paraId="2D0650D6" w14:textId="77777777" w:rsidTr="00AA7E64">
        <w:tc>
          <w:tcPr>
            <w:tcW w:w="4285" w:type="dxa"/>
            <w:tcBorders>
              <w:top w:val="nil"/>
              <w:left w:val="nil"/>
              <w:bottom w:val="nil"/>
              <w:right w:val="nil"/>
            </w:tcBorders>
          </w:tcPr>
          <w:p w14:paraId="2BB86B6B" w14:textId="77777777" w:rsidR="0049273A" w:rsidRPr="000548BD" w:rsidRDefault="0049273A" w:rsidP="00AA7E64">
            <w:pPr>
              <w:autoSpaceDE w:val="0"/>
              <w:autoSpaceDN w:val="0"/>
              <w:adjustRightInd w:val="0"/>
              <w:rPr>
                <w:b/>
              </w:rPr>
            </w:pPr>
            <w:r w:rsidRPr="000548BD">
              <w:rPr>
                <w:b/>
              </w:rPr>
              <w:t>THE MARRIAGE OF</w:t>
            </w:r>
          </w:p>
        </w:tc>
        <w:tc>
          <w:tcPr>
            <w:tcW w:w="1077" w:type="dxa"/>
            <w:tcBorders>
              <w:top w:val="nil"/>
              <w:left w:val="nil"/>
              <w:bottom w:val="nil"/>
              <w:right w:val="nil"/>
            </w:tcBorders>
          </w:tcPr>
          <w:p w14:paraId="5CFDA383" w14:textId="77777777" w:rsidR="0049273A" w:rsidRPr="000548BD" w:rsidRDefault="0049273A" w:rsidP="00AA7E64">
            <w:pPr>
              <w:autoSpaceDE w:val="0"/>
              <w:autoSpaceDN w:val="0"/>
              <w:adjustRightInd w:val="0"/>
              <w:jc w:val="center"/>
              <w:rPr>
                <w:b/>
              </w:rPr>
            </w:pPr>
            <w:r w:rsidRPr="000548BD">
              <w:rPr>
                <w:b/>
              </w:rPr>
              <w:t>§</w:t>
            </w:r>
          </w:p>
        </w:tc>
        <w:tc>
          <w:tcPr>
            <w:tcW w:w="3998" w:type="dxa"/>
            <w:tcBorders>
              <w:top w:val="nil"/>
              <w:left w:val="nil"/>
              <w:bottom w:val="nil"/>
              <w:right w:val="nil"/>
            </w:tcBorders>
          </w:tcPr>
          <w:p w14:paraId="0976C8E9" w14:textId="77777777" w:rsidR="0049273A" w:rsidRPr="000548BD" w:rsidRDefault="0049273A" w:rsidP="00AA7E64">
            <w:pPr>
              <w:autoSpaceDE w:val="0"/>
              <w:autoSpaceDN w:val="0"/>
              <w:adjustRightInd w:val="0"/>
              <w:rPr>
                <w:b/>
              </w:rPr>
            </w:pPr>
          </w:p>
        </w:tc>
      </w:tr>
      <w:tr w:rsidR="0049273A" w:rsidRPr="000548BD" w14:paraId="57E254C6" w14:textId="77777777" w:rsidTr="00AA7E64">
        <w:tc>
          <w:tcPr>
            <w:tcW w:w="4285" w:type="dxa"/>
            <w:tcBorders>
              <w:top w:val="nil"/>
              <w:left w:val="nil"/>
              <w:bottom w:val="nil"/>
              <w:right w:val="nil"/>
            </w:tcBorders>
          </w:tcPr>
          <w:p w14:paraId="6657F270" w14:textId="77777777" w:rsidR="0049273A" w:rsidRPr="000548BD" w:rsidRDefault="0049273A" w:rsidP="00AA7E64">
            <w:pPr>
              <w:autoSpaceDE w:val="0"/>
              <w:autoSpaceDN w:val="0"/>
              <w:adjustRightInd w:val="0"/>
              <w:rPr>
                <w:b/>
              </w:rPr>
            </w:pPr>
          </w:p>
        </w:tc>
        <w:tc>
          <w:tcPr>
            <w:tcW w:w="1077" w:type="dxa"/>
            <w:tcBorders>
              <w:top w:val="nil"/>
              <w:left w:val="nil"/>
              <w:bottom w:val="nil"/>
              <w:right w:val="nil"/>
            </w:tcBorders>
          </w:tcPr>
          <w:p w14:paraId="56FCA494" w14:textId="77777777" w:rsidR="0049273A" w:rsidRPr="000548BD" w:rsidRDefault="0049273A" w:rsidP="00AA7E64">
            <w:pPr>
              <w:autoSpaceDE w:val="0"/>
              <w:autoSpaceDN w:val="0"/>
              <w:adjustRightInd w:val="0"/>
              <w:jc w:val="center"/>
              <w:rPr>
                <w:b/>
              </w:rPr>
            </w:pPr>
            <w:r w:rsidRPr="000548BD">
              <w:rPr>
                <w:b/>
              </w:rPr>
              <w:t>§</w:t>
            </w:r>
          </w:p>
        </w:tc>
        <w:tc>
          <w:tcPr>
            <w:tcW w:w="3998" w:type="dxa"/>
            <w:tcBorders>
              <w:top w:val="nil"/>
              <w:left w:val="nil"/>
              <w:bottom w:val="nil"/>
              <w:right w:val="nil"/>
            </w:tcBorders>
          </w:tcPr>
          <w:p w14:paraId="35429F34" w14:textId="77777777" w:rsidR="0049273A" w:rsidRPr="000548BD" w:rsidRDefault="0049273A" w:rsidP="00AA7E64">
            <w:pPr>
              <w:autoSpaceDE w:val="0"/>
              <w:autoSpaceDN w:val="0"/>
              <w:adjustRightInd w:val="0"/>
              <w:rPr>
                <w:b/>
              </w:rPr>
            </w:pPr>
          </w:p>
        </w:tc>
      </w:tr>
      <w:tr w:rsidR="0049273A" w:rsidRPr="000548BD" w14:paraId="47D26302" w14:textId="77777777" w:rsidTr="00AA7E64">
        <w:tc>
          <w:tcPr>
            <w:tcW w:w="4285" w:type="dxa"/>
            <w:tcBorders>
              <w:top w:val="nil"/>
              <w:left w:val="nil"/>
              <w:bottom w:val="nil"/>
              <w:right w:val="nil"/>
            </w:tcBorders>
          </w:tcPr>
          <w:p w14:paraId="20DB0354" w14:textId="77777777" w:rsidR="0049273A" w:rsidRPr="000548BD" w:rsidRDefault="0049273A" w:rsidP="00AA7E64">
            <w:pPr>
              <w:autoSpaceDE w:val="0"/>
              <w:autoSpaceDN w:val="0"/>
              <w:adjustRightInd w:val="0"/>
              <w:rPr>
                <w:b/>
              </w:rPr>
            </w:pPr>
            <w:r w:rsidRPr="000548BD">
              <w:rPr>
                <w:b/>
              </w:rPr>
              <w:t>ALLISON GELBE-PINKUS</w:t>
            </w:r>
          </w:p>
        </w:tc>
        <w:tc>
          <w:tcPr>
            <w:tcW w:w="1077" w:type="dxa"/>
            <w:tcBorders>
              <w:top w:val="nil"/>
              <w:left w:val="nil"/>
              <w:bottom w:val="nil"/>
              <w:right w:val="nil"/>
            </w:tcBorders>
          </w:tcPr>
          <w:p w14:paraId="0D1B675D" w14:textId="77777777" w:rsidR="0049273A" w:rsidRPr="000548BD" w:rsidRDefault="0049273A" w:rsidP="00AA7E64">
            <w:pPr>
              <w:autoSpaceDE w:val="0"/>
              <w:autoSpaceDN w:val="0"/>
              <w:adjustRightInd w:val="0"/>
              <w:jc w:val="center"/>
              <w:rPr>
                <w:b/>
              </w:rPr>
            </w:pPr>
            <w:r w:rsidRPr="000548BD">
              <w:rPr>
                <w:b/>
              </w:rPr>
              <w:t>§</w:t>
            </w:r>
          </w:p>
        </w:tc>
        <w:tc>
          <w:tcPr>
            <w:tcW w:w="3998" w:type="dxa"/>
            <w:tcBorders>
              <w:top w:val="nil"/>
              <w:left w:val="nil"/>
              <w:bottom w:val="nil"/>
              <w:right w:val="nil"/>
            </w:tcBorders>
          </w:tcPr>
          <w:p w14:paraId="6F5916F3" w14:textId="77777777" w:rsidR="0049273A" w:rsidRPr="000548BD" w:rsidRDefault="0049273A" w:rsidP="00AA7E64">
            <w:pPr>
              <w:autoSpaceDE w:val="0"/>
              <w:autoSpaceDN w:val="0"/>
              <w:adjustRightInd w:val="0"/>
              <w:rPr>
                <w:b/>
              </w:rPr>
            </w:pPr>
          </w:p>
        </w:tc>
      </w:tr>
      <w:tr w:rsidR="0049273A" w:rsidRPr="000548BD" w14:paraId="62C60E66" w14:textId="77777777" w:rsidTr="00AA7E64">
        <w:tc>
          <w:tcPr>
            <w:tcW w:w="4285" w:type="dxa"/>
            <w:tcBorders>
              <w:top w:val="nil"/>
              <w:left w:val="nil"/>
              <w:bottom w:val="nil"/>
              <w:right w:val="nil"/>
            </w:tcBorders>
          </w:tcPr>
          <w:p w14:paraId="6D2D31F2" w14:textId="77777777" w:rsidR="0049273A" w:rsidRPr="000548BD" w:rsidRDefault="0049273A" w:rsidP="00AA7E64">
            <w:pPr>
              <w:autoSpaceDE w:val="0"/>
              <w:autoSpaceDN w:val="0"/>
              <w:adjustRightInd w:val="0"/>
              <w:rPr>
                <w:b/>
              </w:rPr>
            </w:pPr>
            <w:r w:rsidRPr="000548BD">
              <w:rPr>
                <w:b/>
              </w:rPr>
              <w:t>AND</w:t>
            </w:r>
          </w:p>
        </w:tc>
        <w:tc>
          <w:tcPr>
            <w:tcW w:w="1077" w:type="dxa"/>
            <w:tcBorders>
              <w:top w:val="nil"/>
              <w:left w:val="nil"/>
              <w:bottom w:val="nil"/>
              <w:right w:val="nil"/>
            </w:tcBorders>
          </w:tcPr>
          <w:p w14:paraId="79E1F22B" w14:textId="77777777" w:rsidR="0049273A" w:rsidRPr="000548BD" w:rsidRDefault="0049273A" w:rsidP="00AA7E64">
            <w:pPr>
              <w:autoSpaceDE w:val="0"/>
              <w:autoSpaceDN w:val="0"/>
              <w:adjustRightInd w:val="0"/>
              <w:jc w:val="center"/>
              <w:rPr>
                <w:b/>
              </w:rPr>
            </w:pPr>
            <w:r w:rsidRPr="000548BD">
              <w:rPr>
                <w:b/>
              </w:rPr>
              <w:t>§</w:t>
            </w:r>
          </w:p>
        </w:tc>
        <w:tc>
          <w:tcPr>
            <w:tcW w:w="3998" w:type="dxa"/>
            <w:tcBorders>
              <w:top w:val="nil"/>
              <w:left w:val="nil"/>
              <w:bottom w:val="nil"/>
              <w:right w:val="nil"/>
            </w:tcBorders>
          </w:tcPr>
          <w:p w14:paraId="6C145321" w14:textId="77777777" w:rsidR="0049273A" w:rsidRPr="000548BD" w:rsidRDefault="0049273A" w:rsidP="00AA7E64">
            <w:pPr>
              <w:autoSpaceDE w:val="0"/>
              <w:autoSpaceDN w:val="0"/>
              <w:adjustRightInd w:val="0"/>
              <w:rPr>
                <w:b/>
              </w:rPr>
            </w:pPr>
            <w:r w:rsidRPr="000548BD">
              <w:rPr>
                <w:b/>
              </w:rPr>
              <w:t>510TH JUDICIAL DISTRICT</w:t>
            </w:r>
          </w:p>
        </w:tc>
      </w:tr>
      <w:tr w:rsidR="0049273A" w:rsidRPr="000548BD" w14:paraId="17A4C1C6" w14:textId="77777777" w:rsidTr="00AA7E64">
        <w:tc>
          <w:tcPr>
            <w:tcW w:w="4285" w:type="dxa"/>
            <w:tcBorders>
              <w:top w:val="nil"/>
              <w:left w:val="nil"/>
              <w:bottom w:val="nil"/>
              <w:right w:val="nil"/>
            </w:tcBorders>
          </w:tcPr>
          <w:p w14:paraId="6323512B" w14:textId="77777777" w:rsidR="0049273A" w:rsidRPr="000548BD" w:rsidRDefault="0049273A" w:rsidP="00AA7E64">
            <w:pPr>
              <w:autoSpaceDE w:val="0"/>
              <w:autoSpaceDN w:val="0"/>
              <w:adjustRightInd w:val="0"/>
              <w:rPr>
                <w:b/>
              </w:rPr>
            </w:pPr>
            <w:r w:rsidRPr="000548BD">
              <w:rPr>
                <w:b/>
              </w:rPr>
              <w:t>MARK PINKUS</w:t>
            </w:r>
          </w:p>
        </w:tc>
        <w:tc>
          <w:tcPr>
            <w:tcW w:w="1077" w:type="dxa"/>
            <w:tcBorders>
              <w:top w:val="nil"/>
              <w:left w:val="nil"/>
              <w:bottom w:val="nil"/>
              <w:right w:val="nil"/>
            </w:tcBorders>
          </w:tcPr>
          <w:p w14:paraId="5CEDD0F6" w14:textId="77777777" w:rsidR="0049273A" w:rsidRPr="000548BD" w:rsidRDefault="0049273A" w:rsidP="00AA7E64">
            <w:pPr>
              <w:autoSpaceDE w:val="0"/>
              <w:autoSpaceDN w:val="0"/>
              <w:adjustRightInd w:val="0"/>
              <w:jc w:val="center"/>
              <w:rPr>
                <w:b/>
              </w:rPr>
            </w:pPr>
            <w:r w:rsidRPr="000548BD">
              <w:rPr>
                <w:b/>
              </w:rPr>
              <w:t>§</w:t>
            </w:r>
          </w:p>
        </w:tc>
        <w:tc>
          <w:tcPr>
            <w:tcW w:w="3998" w:type="dxa"/>
            <w:tcBorders>
              <w:top w:val="nil"/>
              <w:left w:val="nil"/>
              <w:bottom w:val="nil"/>
              <w:right w:val="nil"/>
            </w:tcBorders>
          </w:tcPr>
          <w:p w14:paraId="2A764E40" w14:textId="77777777" w:rsidR="0049273A" w:rsidRPr="000548BD" w:rsidRDefault="0049273A" w:rsidP="00AA7E64">
            <w:pPr>
              <w:autoSpaceDE w:val="0"/>
              <w:autoSpaceDN w:val="0"/>
              <w:adjustRightInd w:val="0"/>
              <w:rPr>
                <w:b/>
              </w:rPr>
            </w:pPr>
          </w:p>
        </w:tc>
      </w:tr>
      <w:tr w:rsidR="0049273A" w:rsidRPr="000548BD" w14:paraId="79B95E59" w14:textId="77777777" w:rsidTr="00AA7E64">
        <w:tc>
          <w:tcPr>
            <w:tcW w:w="4285" w:type="dxa"/>
            <w:tcBorders>
              <w:top w:val="nil"/>
              <w:left w:val="nil"/>
              <w:bottom w:val="nil"/>
              <w:right w:val="nil"/>
            </w:tcBorders>
          </w:tcPr>
          <w:p w14:paraId="26AA7836" w14:textId="77777777" w:rsidR="0049273A" w:rsidRPr="000548BD" w:rsidRDefault="0049273A" w:rsidP="00AA7E64">
            <w:pPr>
              <w:autoSpaceDE w:val="0"/>
              <w:autoSpaceDN w:val="0"/>
              <w:adjustRightInd w:val="0"/>
              <w:rPr>
                <w:b/>
              </w:rPr>
            </w:pPr>
          </w:p>
        </w:tc>
        <w:tc>
          <w:tcPr>
            <w:tcW w:w="1077" w:type="dxa"/>
            <w:tcBorders>
              <w:top w:val="nil"/>
              <w:left w:val="nil"/>
              <w:bottom w:val="nil"/>
              <w:right w:val="nil"/>
            </w:tcBorders>
          </w:tcPr>
          <w:p w14:paraId="74D27AB1" w14:textId="77777777" w:rsidR="0049273A" w:rsidRPr="000548BD" w:rsidRDefault="0049273A" w:rsidP="00AA7E64">
            <w:pPr>
              <w:autoSpaceDE w:val="0"/>
              <w:autoSpaceDN w:val="0"/>
              <w:adjustRightInd w:val="0"/>
              <w:jc w:val="center"/>
              <w:rPr>
                <w:b/>
              </w:rPr>
            </w:pPr>
            <w:r w:rsidRPr="000548BD">
              <w:rPr>
                <w:b/>
              </w:rPr>
              <w:t>§</w:t>
            </w:r>
          </w:p>
        </w:tc>
        <w:tc>
          <w:tcPr>
            <w:tcW w:w="3998" w:type="dxa"/>
            <w:tcBorders>
              <w:top w:val="nil"/>
              <w:left w:val="nil"/>
              <w:bottom w:val="nil"/>
              <w:right w:val="nil"/>
            </w:tcBorders>
          </w:tcPr>
          <w:p w14:paraId="49B9D8A7" w14:textId="77777777" w:rsidR="0049273A" w:rsidRPr="000548BD" w:rsidRDefault="0049273A" w:rsidP="00AA7E64">
            <w:pPr>
              <w:autoSpaceDE w:val="0"/>
              <w:autoSpaceDN w:val="0"/>
              <w:adjustRightInd w:val="0"/>
              <w:rPr>
                <w:b/>
              </w:rPr>
            </w:pPr>
          </w:p>
        </w:tc>
      </w:tr>
      <w:tr w:rsidR="0049273A" w:rsidRPr="000548BD" w14:paraId="19837DC4" w14:textId="77777777" w:rsidTr="00AA7E64">
        <w:tc>
          <w:tcPr>
            <w:tcW w:w="4285" w:type="dxa"/>
            <w:tcBorders>
              <w:top w:val="nil"/>
              <w:left w:val="nil"/>
              <w:bottom w:val="nil"/>
              <w:right w:val="nil"/>
            </w:tcBorders>
          </w:tcPr>
          <w:p w14:paraId="57657ACF" w14:textId="77777777" w:rsidR="0049273A" w:rsidRPr="000548BD" w:rsidRDefault="0049273A" w:rsidP="00AA7E64">
            <w:pPr>
              <w:autoSpaceDE w:val="0"/>
              <w:autoSpaceDN w:val="0"/>
              <w:adjustRightInd w:val="0"/>
              <w:rPr>
                <w:b/>
              </w:rPr>
            </w:pPr>
            <w:r w:rsidRPr="000548BD">
              <w:rPr>
                <w:b/>
              </w:rPr>
              <w:t>AND IN THE INTEREST OF</w:t>
            </w:r>
          </w:p>
        </w:tc>
        <w:tc>
          <w:tcPr>
            <w:tcW w:w="1077" w:type="dxa"/>
            <w:tcBorders>
              <w:top w:val="nil"/>
              <w:left w:val="nil"/>
              <w:bottom w:val="nil"/>
              <w:right w:val="nil"/>
            </w:tcBorders>
          </w:tcPr>
          <w:p w14:paraId="6B25486A" w14:textId="77777777" w:rsidR="0049273A" w:rsidRPr="000548BD" w:rsidRDefault="0049273A" w:rsidP="00AA7E64">
            <w:pPr>
              <w:autoSpaceDE w:val="0"/>
              <w:autoSpaceDN w:val="0"/>
              <w:adjustRightInd w:val="0"/>
              <w:jc w:val="center"/>
              <w:rPr>
                <w:b/>
              </w:rPr>
            </w:pPr>
            <w:r w:rsidRPr="000548BD">
              <w:rPr>
                <w:b/>
              </w:rPr>
              <w:t>§</w:t>
            </w:r>
          </w:p>
        </w:tc>
        <w:tc>
          <w:tcPr>
            <w:tcW w:w="3998" w:type="dxa"/>
            <w:tcBorders>
              <w:top w:val="nil"/>
              <w:left w:val="nil"/>
              <w:bottom w:val="nil"/>
              <w:right w:val="nil"/>
            </w:tcBorders>
          </w:tcPr>
          <w:p w14:paraId="1057F5F5" w14:textId="77777777" w:rsidR="0049273A" w:rsidRPr="000548BD" w:rsidRDefault="0049273A" w:rsidP="00AA7E64">
            <w:pPr>
              <w:autoSpaceDE w:val="0"/>
              <w:autoSpaceDN w:val="0"/>
              <w:adjustRightInd w:val="0"/>
              <w:rPr>
                <w:b/>
              </w:rPr>
            </w:pPr>
          </w:p>
        </w:tc>
      </w:tr>
      <w:tr w:rsidR="0049273A" w:rsidRPr="000548BD" w14:paraId="1BAAA869" w14:textId="77777777" w:rsidTr="00AA7E64">
        <w:tc>
          <w:tcPr>
            <w:tcW w:w="4285" w:type="dxa"/>
            <w:tcBorders>
              <w:top w:val="nil"/>
              <w:left w:val="nil"/>
              <w:bottom w:val="nil"/>
              <w:right w:val="nil"/>
            </w:tcBorders>
          </w:tcPr>
          <w:p w14:paraId="647C7FCC" w14:textId="77777777" w:rsidR="0049273A" w:rsidRPr="000548BD" w:rsidRDefault="0049273A" w:rsidP="00AA7E64">
            <w:pPr>
              <w:autoSpaceDE w:val="0"/>
              <w:autoSpaceDN w:val="0"/>
              <w:adjustRightInd w:val="0"/>
              <w:rPr>
                <w:b/>
              </w:rPr>
            </w:pPr>
            <w:r w:rsidRPr="000548BD">
              <w:rPr>
                <w:b/>
              </w:rPr>
              <w:t>TODD PINKUS, THOMAS PINKUS AND LUCY PINKUS, CHILDREN</w:t>
            </w:r>
          </w:p>
        </w:tc>
        <w:tc>
          <w:tcPr>
            <w:tcW w:w="1077" w:type="dxa"/>
            <w:tcBorders>
              <w:top w:val="nil"/>
              <w:left w:val="nil"/>
              <w:bottom w:val="nil"/>
              <w:right w:val="nil"/>
            </w:tcBorders>
          </w:tcPr>
          <w:p w14:paraId="173FACC6" w14:textId="77777777" w:rsidR="0049273A" w:rsidRPr="000548BD" w:rsidRDefault="0049273A" w:rsidP="00AA7E64">
            <w:pPr>
              <w:autoSpaceDE w:val="0"/>
              <w:autoSpaceDN w:val="0"/>
              <w:adjustRightInd w:val="0"/>
              <w:jc w:val="center"/>
              <w:rPr>
                <w:b/>
              </w:rPr>
            </w:pPr>
            <w:r w:rsidRPr="000548BD">
              <w:rPr>
                <w:b/>
              </w:rPr>
              <w:t>§</w:t>
            </w:r>
          </w:p>
          <w:p w14:paraId="00D3DE7B" w14:textId="77777777" w:rsidR="0049273A" w:rsidRPr="000548BD" w:rsidRDefault="0049273A" w:rsidP="00AA7E64">
            <w:pPr>
              <w:autoSpaceDE w:val="0"/>
              <w:autoSpaceDN w:val="0"/>
              <w:adjustRightInd w:val="0"/>
              <w:jc w:val="center"/>
              <w:rPr>
                <w:b/>
              </w:rPr>
            </w:pPr>
            <w:r w:rsidRPr="000548BD">
              <w:rPr>
                <w:b/>
              </w:rPr>
              <w:t>§</w:t>
            </w:r>
          </w:p>
        </w:tc>
        <w:tc>
          <w:tcPr>
            <w:tcW w:w="3998" w:type="dxa"/>
            <w:tcBorders>
              <w:top w:val="nil"/>
              <w:left w:val="nil"/>
              <w:bottom w:val="nil"/>
              <w:right w:val="nil"/>
            </w:tcBorders>
          </w:tcPr>
          <w:p w14:paraId="5B0AD126" w14:textId="77777777" w:rsidR="0049273A" w:rsidRPr="000548BD" w:rsidRDefault="0049273A" w:rsidP="00AA7E64">
            <w:pPr>
              <w:autoSpaceDE w:val="0"/>
              <w:autoSpaceDN w:val="0"/>
              <w:adjustRightInd w:val="0"/>
              <w:rPr>
                <w:b/>
              </w:rPr>
            </w:pPr>
          </w:p>
          <w:p w14:paraId="49068F0C" w14:textId="77777777" w:rsidR="0049273A" w:rsidRPr="000548BD" w:rsidRDefault="0049273A" w:rsidP="00AA7E64">
            <w:pPr>
              <w:autoSpaceDE w:val="0"/>
              <w:autoSpaceDN w:val="0"/>
              <w:adjustRightInd w:val="0"/>
              <w:rPr>
                <w:b/>
              </w:rPr>
            </w:pPr>
            <w:r w:rsidRPr="000548BD">
              <w:rPr>
                <w:b/>
              </w:rPr>
              <w:t>DENTON COUNTY, TEXAS</w:t>
            </w:r>
          </w:p>
        </w:tc>
      </w:tr>
    </w:tbl>
    <w:p w14:paraId="1A2E82D7" w14:textId="77777777" w:rsidR="00265E1E" w:rsidRPr="00265E1E" w:rsidRDefault="00265E1E" w:rsidP="00265E1E">
      <w:pPr>
        <w:spacing w:before="100" w:beforeAutospacing="1" w:after="100" w:afterAutospacing="1"/>
        <w:jc w:val="center"/>
        <w:rPr>
          <w:rFonts w:eastAsia="Times New Roman" w:cs="Times New Roman"/>
          <w:b/>
          <w:color w:val="1E1E1E"/>
          <w:sz w:val="24"/>
          <w:szCs w:val="24"/>
          <w:u w:val="single"/>
        </w:rPr>
      </w:pPr>
      <w:r w:rsidRPr="00265E1E">
        <w:rPr>
          <w:rFonts w:eastAsia="Times New Roman" w:cs="Times New Roman"/>
          <w:b/>
          <w:color w:val="1E1E1E"/>
          <w:sz w:val="24"/>
          <w:szCs w:val="24"/>
          <w:u w:val="single"/>
        </w:rPr>
        <w:t>TRIAL BRIEF REGARDING PENALTY AND FORFEITURE CLAUSE</w:t>
      </w:r>
    </w:p>
    <w:p w14:paraId="055E28BB" w14:textId="77777777" w:rsidR="00265E1E" w:rsidRPr="00F32ABA" w:rsidRDefault="00265E1E" w:rsidP="00265E1E">
      <w:pPr>
        <w:spacing w:before="100" w:beforeAutospacing="1" w:after="100" w:afterAutospacing="1"/>
        <w:ind w:firstLine="540"/>
        <w:jc w:val="both"/>
        <w:rPr>
          <w:rFonts w:eastAsia="Times New Roman" w:cs="Times New Roman"/>
          <w:sz w:val="24"/>
          <w:szCs w:val="24"/>
        </w:rPr>
      </w:pPr>
      <w:r w:rsidRPr="00F32ABA">
        <w:rPr>
          <w:rFonts w:eastAsia="Times New Roman" w:cs="Times New Roman"/>
          <w:sz w:val="24"/>
          <w:szCs w:val="24"/>
        </w:rPr>
        <w:t xml:space="preserve">COMES NOW, the Respondent, MARK PINKUS, and files this Trial Brief Regarding Penalty and Forfeiture Clause.   In support, MARK PINKUS (“MARK”) would respectfully show the Court the following:    </w:t>
      </w:r>
    </w:p>
    <w:p w14:paraId="084D515F" w14:textId="77777777" w:rsidR="00265E1E" w:rsidRPr="00F32ABA" w:rsidRDefault="00265E1E" w:rsidP="00265E1E">
      <w:pPr>
        <w:spacing w:before="100" w:beforeAutospacing="1" w:after="100" w:afterAutospacing="1"/>
        <w:ind w:left="540" w:hanging="540"/>
        <w:contextualSpacing/>
        <w:jc w:val="center"/>
        <w:rPr>
          <w:rFonts w:eastAsia="Times New Roman" w:cs="Times New Roman"/>
          <w:b/>
          <w:sz w:val="24"/>
          <w:szCs w:val="24"/>
        </w:rPr>
      </w:pPr>
      <w:r w:rsidRPr="00F32ABA">
        <w:rPr>
          <w:rFonts w:eastAsia="Times New Roman" w:cs="Times New Roman"/>
          <w:b/>
          <w:sz w:val="24"/>
          <w:szCs w:val="24"/>
        </w:rPr>
        <w:t>INTRODUCTION</w:t>
      </w:r>
    </w:p>
    <w:p w14:paraId="19376F46" w14:textId="77777777" w:rsidR="00265E1E" w:rsidRPr="00F32ABA" w:rsidRDefault="00265E1E" w:rsidP="00265E1E">
      <w:pPr>
        <w:spacing w:before="100" w:beforeAutospacing="1" w:after="100" w:afterAutospacing="1"/>
        <w:ind w:left="540"/>
        <w:contextualSpacing/>
        <w:rPr>
          <w:rFonts w:eastAsia="Times New Roman" w:cs="Times New Roman"/>
          <w:b/>
          <w:sz w:val="24"/>
          <w:szCs w:val="24"/>
        </w:rPr>
      </w:pPr>
    </w:p>
    <w:p w14:paraId="7EB48806" w14:textId="77777777" w:rsidR="00265E1E" w:rsidRPr="00F32ABA" w:rsidRDefault="00265E1E" w:rsidP="00265E1E">
      <w:pPr>
        <w:spacing w:before="100" w:beforeAutospacing="1" w:after="100" w:afterAutospacing="1"/>
        <w:ind w:firstLine="720"/>
        <w:jc w:val="both"/>
        <w:rPr>
          <w:rFonts w:eastAsia="Times New Roman" w:cs="Times New Roman"/>
          <w:sz w:val="24"/>
          <w:szCs w:val="24"/>
        </w:rPr>
      </w:pPr>
      <w:r w:rsidRPr="00F32ABA">
        <w:rPr>
          <w:rFonts w:eastAsia="Times New Roman" w:cs="Times New Roman"/>
          <w:sz w:val="24"/>
          <w:szCs w:val="24"/>
        </w:rPr>
        <w:t>Petitioner, ALLISON GELBE-PINKUS (“ALLISON”) and MARK executed a Premarital Agreement on November 14, 2008.  Section 9.17 of the parties’ Premarital Agreement provides as follows:</w:t>
      </w:r>
    </w:p>
    <w:p w14:paraId="6ED345D6" w14:textId="3AC493B3" w:rsidR="00265E1E" w:rsidRDefault="00265E1E" w:rsidP="00265E1E">
      <w:pPr>
        <w:autoSpaceDE w:val="0"/>
        <w:autoSpaceDN w:val="0"/>
        <w:adjustRightInd w:val="0"/>
        <w:spacing w:after="240"/>
        <w:ind w:left="720" w:right="720"/>
        <w:jc w:val="both"/>
        <w:rPr>
          <w:rFonts w:eastAsia="Times New Roman" w:cs="Times New Roman"/>
          <w:sz w:val="24"/>
          <w:szCs w:val="24"/>
        </w:rPr>
      </w:pPr>
      <w:r w:rsidRPr="00F32ABA">
        <w:rPr>
          <w:rFonts w:eastAsia="Times New Roman" w:cs="Times New Roman"/>
          <w:sz w:val="24"/>
          <w:szCs w:val="24"/>
        </w:rPr>
        <w:t>In the event ALLISON or MARK (or any third party acting at the request of either of them, or on behalf of either of them) initiates or prosecutes any legal action or seek</w:t>
      </w:r>
      <w:r w:rsidR="00973105" w:rsidRPr="00F32ABA">
        <w:rPr>
          <w:rFonts w:eastAsia="Times New Roman" w:cs="Times New Roman"/>
          <w:sz w:val="24"/>
          <w:szCs w:val="24"/>
        </w:rPr>
        <w:t>s</w:t>
      </w:r>
      <w:r w:rsidRPr="00F32ABA">
        <w:rPr>
          <w:rFonts w:eastAsia="Times New Roman" w:cs="Times New Roman"/>
          <w:sz w:val="24"/>
          <w:szCs w:val="24"/>
        </w:rPr>
        <w:t xml:space="preserve"> any ancillary remedy in any action seeking to invalidate any provision of this Agreement or obtain property, property rights or benefits contrary to, in excess of, or otherwise at variance with this Agreement (the “Contesting Party”), then the Contesting Party shall be liable to the other Party for all reasonable and necessary attorney’s fees and costs incurred by such other Party in defending his or her rights under this Agreement.  Additionally, if ALLISON initiates or prosecutes any legal action or seek</w:t>
      </w:r>
      <w:r w:rsidR="00973105" w:rsidRPr="00F32ABA">
        <w:rPr>
          <w:rFonts w:eastAsia="Times New Roman" w:cs="Times New Roman"/>
          <w:sz w:val="24"/>
          <w:szCs w:val="24"/>
        </w:rPr>
        <w:t>s</w:t>
      </w:r>
      <w:r w:rsidRPr="00F32ABA">
        <w:rPr>
          <w:rFonts w:eastAsia="Times New Roman" w:cs="Times New Roman"/>
          <w:sz w:val="24"/>
          <w:szCs w:val="24"/>
        </w:rPr>
        <w:t xml:space="preserve"> any ancillary remedy in any action seeking to invalidate any provision of this Agreement or obtain property, property rights or benefits contrary to, in excess of, or otherwise at variance with this Agreement, then ALLISON shall forfeit the cash payment otherwise payable to her under Section 7.3 herein.</w:t>
      </w:r>
    </w:p>
    <w:p w14:paraId="1D67473A" w14:textId="77777777" w:rsidR="00F32ABA" w:rsidRPr="00F32ABA" w:rsidRDefault="00973105" w:rsidP="00F32ABA">
      <w:pPr>
        <w:spacing w:before="100" w:beforeAutospacing="1" w:after="100" w:afterAutospacing="1"/>
        <w:ind w:firstLine="720"/>
        <w:jc w:val="both"/>
        <w:rPr>
          <w:rFonts w:eastAsia="Times New Roman" w:cs="Times New Roman"/>
          <w:sz w:val="24"/>
          <w:szCs w:val="24"/>
        </w:rPr>
      </w:pPr>
      <w:r w:rsidRPr="00F32ABA">
        <w:rPr>
          <w:rFonts w:eastAsia="Times New Roman" w:cs="Times New Roman"/>
          <w:sz w:val="24"/>
          <w:szCs w:val="24"/>
        </w:rPr>
        <w:t xml:space="preserve">Section 7.3 of the </w:t>
      </w:r>
      <w:r w:rsidR="00823DA6" w:rsidRPr="00F32ABA">
        <w:rPr>
          <w:rFonts w:eastAsia="Times New Roman" w:cs="Times New Roman"/>
          <w:sz w:val="24"/>
          <w:szCs w:val="24"/>
        </w:rPr>
        <w:t xml:space="preserve">Premarital </w:t>
      </w:r>
      <w:r w:rsidRPr="00F32ABA">
        <w:rPr>
          <w:rFonts w:eastAsia="Times New Roman" w:cs="Times New Roman"/>
          <w:sz w:val="24"/>
          <w:szCs w:val="24"/>
        </w:rPr>
        <w:t>Agreement provides a lump sum payment to ALLISON in t</w:t>
      </w:r>
      <w:r w:rsidR="00F32ABA" w:rsidRPr="00F32ABA">
        <w:rPr>
          <w:rFonts w:eastAsia="Times New Roman" w:cs="Times New Roman"/>
          <w:sz w:val="24"/>
          <w:szCs w:val="24"/>
        </w:rPr>
        <w:t>he event of dissolution, as follows:</w:t>
      </w:r>
    </w:p>
    <w:p w14:paraId="54A9FD89" w14:textId="77777777" w:rsidR="00F32ABA" w:rsidRPr="00F32ABA" w:rsidRDefault="00F32ABA" w:rsidP="00F32ABA">
      <w:pPr>
        <w:autoSpaceDE w:val="0"/>
        <w:autoSpaceDN w:val="0"/>
        <w:adjustRightInd w:val="0"/>
        <w:spacing w:after="240"/>
        <w:ind w:left="720" w:right="720"/>
        <w:jc w:val="both"/>
        <w:rPr>
          <w:rFonts w:cs="Times New Roman"/>
          <w:sz w:val="24"/>
          <w:szCs w:val="24"/>
        </w:rPr>
      </w:pPr>
      <w:r w:rsidRPr="00F32ABA">
        <w:rPr>
          <w:rFonts w:cs="Times New Roman"/>
          <w:sz w:val="24"/>
          <w:szCs w:val="24"/>
        </w:rPr>
        <w:lastRenderedPageBreak/>
        <w:t>The Parties agree that MARK will pay to ALLISON, within thirty days of dissolution of the Marriage, the following amount of cash based upon the duration of marriage, as set forth below:</w:t>
      </w:r>
    </w:p>
    <w:p w14:paraId="18704DC2" w14:textId="4488FF51" w:rsidR="00F32ABA" w:rsidRPr="00F32ABA" w:rsidRDefault="00F32ABA" w:rsidP="00F32ABA">
      <w:pPr>
        <w:autoSpaceDE w:val="0"/>
        <w:autoSpaceDN w:val="0"/>
        <w:adjustRightInd w:val="0"/>
        <w:spacing w:after="240"/>
        <w:ind w:left="720" w:right="720"/>
        <w:jc w:val="both"/>
        <w:rPr>
          <w:rFonts w:cs="Times New Roman"/>
          <w:b/>
          <w:sz w:val="24"/>
          <w:szCs w:val="24"/>
          <w:u w:val="single"/>
        </w:rPr>
      </w:pPr>
      <w:r w:rsidRPr="00F32ABA">
        <w:rPr>
          <w:rFonts w:cs="Times New Roman"/>
          <w:b/>
          <w:sz w:val="24"/>
          <w:szCs w:val="24"/>
          <w:u w:val="single"/>
        </w:rPr>
        <w:t>Date Dissolution Proceeding Filed</w:t>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u w:val="single"/>
        </w:rPr>
        <w:t xml:space="preserve">Amount </w:t>
      </w:r>
      <w:r w:rsidRPr="00F32ABA">
        <w:rPr>
          <w:rFonts w:cs="Times New Roman"/>
          <w:b/>
          <w:sz w:val="24"/>
          <w:szCs w:val="24"/>
          <w:u w:val="single"/>
        </w:rPr>
        <w:t>to ALLISON</w:t>
      </w:r>
    </w:p>
    <w:p w14:paraId="2763CEEA" w14:textId="5FD0C840" w:rsidR="00F32ABA" w:rsidRPr="00F32ABA" w:rsidRDefault="00F32ABA" w:rsidP="00F32ABA">
      <w:pPr>
        <w:autoSpaceDE w:val="0"/>
        <w:autoSpaceDN w:val="0"/>
        <w:adjustRightInd w:val="0"/>
        <w:spacing w:after="240"/>
        <w:ind w:left="720" w:right="720"/>
        <w:jc w:val="both"/>
        <w:rPr>
          <w:rFonts w:cs="Times New Roman"/>
          <w:sz w:val="24"/>
          <w:szCs w:val="24"/>
        </w:rPr>
      </w:pPr>
      <w:r w:rsidRPr="00F32ABA">
        <w:rPr>
          <w:rFonts w:cs="Times New Roman"/>
          <w:sz w:val="24"/>
          <w:szCs w:val="24"/>
        </w:rPr>
        <w:t>Before 1</w:t>
      </w:r>
      <w:r w:rsidRPr="00F32ABA">
        <w:rPr>
          <w:rFonts w:cs="Times New Roman"/>
          <w:sz w:val="24"/>
          <w:szCs w:val="24"/>
          <w:vertAlign w:val="superscript"/>
        </w:rPr>
        <w:t>st</w:t>
      </w:r>
      <w:r>
        <w:rPr>
          <w:rFonts w:cs="Times New Roman"/>
          <w:sz w:val="24"/>
          <w:szCs w:val="24"/>
        </w:rPr>
        <w:t xml:space="preserve"> Anniversary of Marriage</w:t>
      </w:r>
      <w:r>
        <w:rPr>
          <w:rFonts w:cs="Times New Roman"/>
          <w:sz w:val="24"/>
          <w:szCs w:val="24"/>
        </w:rPr>
        <w:tab/>
      </w:r>
      <w:r>
        <w:rPr>
          <w:rFonts w:cs="Times New Roman"/>
          <w:sz w:val="24"/>
          <w:szCs w:val="24"/>
        </w:rPr>
        <w:tab/>
      </w:r>
      <w:r>
        <w:rPr>
          <w:rFonts w:cs="Times New Roman"/>
          <w:sz w:val="24"/>
          <w:szCs w:val="24"/>
        </w:rPr>
        <w:tab/>
      </w:r>
      <w:r w:rsidRPr="00F32ABA">
        <w:rPr>
          <w:rFonts w:cs="Times New Roman"/>
          <w:sz w:val="24"/>
          <w:szCs w:val="24"/>
        </w:rPr>
        <w:t>$0.00</w:t>
      </w:r>
    </w:p>
    <w:p w14:paraId="3B05ACC4" w14:textId="5F3BC5E3" w:rsidR="00F32ABA" w:rsidRPr="00F32ABA" w:rsidRDefault="00F32ABA" w:rsidP="00F32ABA">
      <w:pPr>
        <w:autoSpaceDE w:val="0"/>
        <w:autoSpaceDN w:val="0"/>
        <w:adjustRightInd w:val="0"/>
        <w:spacing w:after="240"/>
        <w:ind w:left="720" w:right="720"/>
        <w:jc w:val="both"/>
        <w:rPr>
          <w:rFonts w:cs="Times New Roman"/>
          <w:sz w:val="24"/>
          <w:szCs w:val="24"/>
        </w:rPr>
      </w:pPr>
      <w:r w:rsidRPr="00F32ABA">
        <w:rPr>
          <w:rFonts w:cs="Times New Roman"/>
          <w:sz w:val="24"/>
          <w:szCs w:val="24"/>
        </w:rPr>
        <w:t>After 1</w:t>
      </w:r>
      <w:r w:rsidRPr="00F32ABA">
        <w:rPr>
          <w:rFonts w:cs="Times New Roman"/>
          <w:sz w:val="24"/>
          <w:szCs w:val="24"/>
          <w:vertAlign w:val="superscript"/>
        </w:rPr>
        <w:t>st</w:t>
      </w:r>
      <w:r w:rsidRPr="00F32ABA">
        <w:rPr>
          <w:rFonts w:cs="Times New Roman"/>
          <w:sz w:val="24"/>
          <w:szCs w:val="24"/>
        </w:rPr>
        <w:t>, but before 3</w:t>
      </w:r>
      <w:r w:rsidRPr="00F32ABA">
        <w:rPr>
          <w:rFonts w:cs="Times New Roman"/>
          <w:sz w:val="24"/>
          <w:szCs w:val="24"/>
          <w:vertAlign w:val="superscript"/>
        </w:rPr>
        <w:t>rd</w:t>
      </w:r>
      <w:r>
        <w:rPr>
          <w:rFonts w:cs="Times New Roman"/>
          <w:sz w:val="24"/>
          <w:szCs w:val="24"/>
        </w:rPr>
        <w:t xml:space="preserve"> Anniversary of Marriage</w:t>
      </w:r>
      <w:r>
        <w:rPr>
          <w:rFonts w:cs="Times New Roman"/>
          <w:sz w:val="24"/>
          <w:szCs w:val="24"/>
        </w:rPr>
        <w:tab/>
      </w:r>
      <w:r w:rsidRPr="00F32ABA">
        <w:rPr>
          <w:rFonts w:cs="Times New Roman"/>
          <w:sz w:val="24"/>
          <w:szCs w:val="24"/>
        </w:rPr>
        <w:t>$500,000.00</w:t>
      </w:r>
    </w:p>
    <w:p w14:paraId="63C1B929" w14:textId="51F60F0F" w:rsidR="00F32ABA" w:rsidRPr="00F32ABA" w:rsidRDefault="00F32ABA" w:rsidP="00F32ABA">
      <w:pPr>
        <w:autoSpaceDE w:val="0"/>
        <w:autoSpaceDN w:val="0"/>
        <w:adjustRightInd w:val="0"/>
        <w:spacing w:after="240"/>
        <w:ind w:left="720" w:right="720"/>
        <w:jc w:val="both"/>
        <w:rPr>
          <w:rFonts w:cs="Times New Roman"/>
          <w:sz w:val="24"/>
          <w:szCs w:val="24"/>
        </w:rPr>
      </w:pPr>
      <w:r w:rsidRPr="00F32ABA">
        <w:rPr>
          <w:rFonts w:cs="Times New Roman"/>
          <w:sz w:val="24"/>
          <w:szCs w:val="24"/>
        </w:rPr>
        <w:t>After 3</w:t>
      </w:r>
      <w:r w:rsidRPr="00F32ABA">
        <w:rPr>
          <w:rFonts w:cs="Times New Roman"/>
          <w:sz w:val="24"/>
          <w:szCs w:val="24"/>
          <w:vertAlign w:val="superscript"/>
        </w:rPr>
        <w:t>rd</w:t>
      </w:r>
      <w:r w:rsidRPr="00F32ABA">
        <w:rPr>
          <w:rFonts w:cs="Times New Roman"/>
          <w:sz w:val="24"/>
          <w:szCs w:val="24"/>
        </w:rPr>
        <w:t>, but before 7</w:t>
      </w:r>
      <w:r w:rsidRPr="00F32ABA">
        <w:rPr>
          <w:rFonts w:cs="Times New Roman"/>
          <w:sz w:val="24"/>
          <w:szCs w:val="24"/>
          <w:vertAlign w:val="superscript"/>
        </w:rPr>
        <w:t>th</w:t>
      </w:r>
      <w:r>
        <w:rPr>
          <w:rFonts w:cs="Times New Roman"/>
          <w:sz w:val="24"/>
          <w:szCs w:val="24"/>
        </w:rPr>
        <w:t xml:space="preserve"> Anniversary of Marriage</w:t>
      </w:r>
      <w:r>
        <w:rPr>
          <w:rFonts w:cs="Times New Roman"/>
          <w:sz w:val="24"/>
          <w:szCs w:val="24"/>
        </w:rPr>
        <w:tab/>
      </w:r>
      <w:r w:rsidRPr="00F32ABA">
        <w:rPr>
          <w:rFonts w:cs="Times New Roman"/>
          <w:sz w:val="24"/>
          <w:szCs w:val="24"/>
        </w:rPr>
        <w:t>$1,000,000.00</w:t>
      </w:r>
    </w:p>
    <w:p w14:paraId="19E9518F" w14:textId="61D3C173" w:rsidR="00F32ABA" w:rsidRPr="00F32ABA" w:rsidRDefault="00F32ABA" w:rsidP="00F32ABA">
      <w:pPr>
        <w:autoSpaceDE w:val="0"/>
        <w:autoSpaceDN w:val="0"/>
        <w:adjustRightInd w:val="0"/>
        <w:spacing w:after="240"/>
        <w:ind w:left="720" w:right="720"/>
        <w:jc w:val="both"/>
        <w:rPr>
          <w:rFonts w:cs="Times New Roman"/>
          <w:sz w:val="24"/>
          <w:szCs w:val="24"/>
        </w:rPr>
      </w:pPr>
      <w:r w:rsidRPr="00F32ABA">
        <w:rPr>
          <w:rFonts w:cs="Times New Roman"/>
          <w:sz w:val="24"/>
          <w:szCs w:val="24"/>
        </w:rPr>
        <w:t>After 7</w:t>
      </w:r>
      <w:r w:rsidRPr="00F32ABA">
        <w:rPr>
          <w:rFonts w:cs="Times New Roman"/>
          <w:sz w:val="24"/>
          <w:szCs w:val="24"/>
          <w:vertAlign w:val="superscript"/>
        </w:rPr>
        <w:t>th</w:t>
      </w:r>
      <w:r w:rsidRPr="00F32ABA">
        <w:rPr>
          <w:rFonts w:cs="Times New Roman"/>
          <w:sz w:val="24"/>
          <w:szCs w:val="24"/>
        </w:rPr>
        <w:t>, but before 15</w:t>
      </w:r>
      <w:r w:rsidRPr="00F32ABA">
        <w:rPr>
          <w:rFonts w:cs="Times New Roman"/>
          <w:sz w:val="24"/>
          <w:szCs w:val="24"/>
          <w:vertAlign w:val="superscript"/>
        </w:rPr>
        <w:t>th</w:t>
      </w:r>
      <w:r>
        <w:rPr>
          <w:rFonts w:cs="Times New Roman"/>
          <w:sz w:val="24"/>
          <w:szCs w:val="24"/>
        </w:rPr>
        <w:t xml:space="preserve"> Anniversary of Marriage</w:t>
      </w:r>
      <w:r>
        <w:rPr>
          <w:rFonts w:cs="Times New Roman"/>
          <w:sz w:val="24"/>
          <w:szCs w:val="24"/>
        </w:rPr>
        <w:tab/>
      </w:r>
      <w:r w:rsidRPr="00F32ABA">
        <w:rPr>
          <w:rFonts w:cs="Times New Roman"/>
          <w:sz w:val="24"/>
          <w:szCs w:val="24"/>
        </w:rPr>
        <w:t>$3,000,000.00</w:t>
      </w:r>
    </w:p>
    <w:p w14:paraId="26EA9180" w14:textId="124B4DEA" w:rsidR="00F32ABA" w:rsidRPr="00F32ABA" w:rsidRDefault="00F32ABA" w:rsidP="00F32ABA">
      <w:pPr>
        <w:autoSpaceDE w:val="0"/>
        <w:autoSpaceDN w:val="0"/>
        <w:adjustRightInd w:val="0"/>
        <w:spacing w:after="240"/>
        <w:ind w:left="720" w:right="720"/>
        <w:jc w:val="both"/>
        <w:rPr>
          <w:rFonts w:cs="Times New Roman"/>
          <w:sz w:val="24"/>
          <w:szCs w:val="24"/>
        </w:rPr>
      </w:pPr>
      <w:r w:rsidRPr="00F32ABA">
        <w:rPr>
          <w:rFonts w:cs="Times New Roman"/>
          <w:sz w:val="24"/>
          <w:szCs w:val="24"/>
        </w:rPr>
        <w:t>After 15</w:t>
      </w:r>
      <w:r w:rsidRPr="00F32ABA">
        <w:rPr>
          <w:rFonts w:cs="Times New Roman"/>
          <w:sz w:val="24"/>
          <w:szCs w:val="24"/>
          <w:vertAlign w:val="superscript"/>
        </w:rPr>
        <w:t>th</w:t>
      </w:r>
      <w:r>
        <w:rPr>
          <w:rFonts w:cs="Times New Roman"/>
          <w:sz w:val="24"/>
          <w:szCs w:val="24"/>
        </w:rPr>
        <w:t xml:space="preserve"> Anniversary of Marriage</w:t>
      </w:r>
      <w:r>
        <w:rPr>
          <w:rFonts w:cs="Times New Roman"/>
          <w:sz w:val="24"/>
          <w:szCs w:val="24"/>
        </w:rPr>
        <w:tab/>
      </w:r>
      <w:r>
        <w:rPr>
          <w:rFonts w:cs="Times New Roman"/>
          <w:sz w:val="24"/>
          <w:szCs w:val="24"/>
        </w:rPr>
        <w:tab/>
      </w:r>
      <w:r>
        <w:rPr>
          <w:rFonts w:cs="Times New Roman"/>
          <w:sz w:val="24"/>
          <w:szCs w:val="24"/>
        </w:rPr>
        <w:tab/>
      </w:r>
      <w:r w:rsidRPr="00F32ABA">
        <w:rPr>
          <w:rFonts w:cs="Times New Roman"/>
          <w:sz w:val="24"/>
          <w:szCs w:val="24"/>
        </w:rPr>
        <w:t>$5,000,000.00</w:t>
      </w:r>
    </w:p>
    <w:p w14:paraId="4A938CBC" w14:textId="0FE7D1D1" w:rsidR="00265E1E" w:rsidRPr="00F32ABA" w:rsidRDefault="00A670EE" w:rsidP="00265E1E">
      <w:pPr>
        <w:spacing w:before="100" w:beforeAutospacing="1" w:after="100" w:afterAutospacing="1"/>
        <w:ind w:firstLine="720"/>
        <w:jc w:val="both"/>
        <w:rPr>
          <w:rFonts w:eastAsia="Times New Roman" w:cs="Times New Roman"/>
          <w:sz w:val="24"/>
          <w:szCs w:val="24"/>
        </w:rPr>
      </w:pPr>
      <w:r>
        <w:rPr>
          <w:rFonts w:eastAsia="Times New Roman" w:cs="Times New Roman"/>
          <w:sz w:val="24"/>
          <w:szCs w:val="24"/>
        </w:rPr>
        <w:t>Despite the</w:t>
      </w:r>
      <w:r w:rsidR="00265E1E" w:rsidRPr="00F32ABA">
        <w:rPr>
          <w:rFonts w:eastAsia="Times New Roman" w:cs="Times New Roman"/>
          <w:sz w:val="24"/>
          <w:szCs w:val="24"/>
        </w:rPr>
        <w:t xml:space="preserve"> clear contractual language</w:t>
      </w:r>
      <w:r>
        <w:rPr>
          <w:rFonts w:eastAsia="Times New Roman" w:cs="Times New Roman"/>
          <w:sz w:val="24"/>
          <w:szCs w:val="24"/>
        </w:rPr>
        <w:t xml:space="preserve"> in </w:t>
      </w:r>
      <w:r w:rsidRPr="00F32ABA">
        <w:rPr>
          <w:rFonts w:eastAsia="Times New Roman" w:cs="Times New Roman"/>
          <w:sz w:val="24"/>
          <w:szCs w:val="24"/>
        </w:rPr>
        <w:t>Section 9.17</w:t>
      </w:r>
      <w:r>
        <w:rPr>
          <w:rFonts w:eastAsia="Times New Roman" w:cs="Times New Roman"/>
          <w:sz w:val="24"/>
          <w:szCs w:val="24"/>
        </w:rPr>
        <w:t xml:space="preserve"> of the Premarital Agreement</w:t>
      </w:r>
      <w:r w:rsidR="00265E1E" w:rsidRPr="00F32ABA">
        <w:rPr>
          <w:rFonts w:eastAsia="Times New Roman" w:cs="Times New Roman"/>
          <w:sz w:val="24"/>
          <w:szCs w:val="24"/>
        </w:rPr>
        <w:t xml:space="preserve">, ALLISON filed a </w:t>
      </w:r>
      <w:r w:rsidR="00265E1E" w:rsidRPr="00F32ABA">
        <w:rPr>
          <w:rFonts w:eastAsia="Times New Roman" w:cs="Times New Roman"/>
          <w:i/>
          <w:sz w:val="24"/>
          <w:szCs w:val="24"/>
        </w:rPr>
        <w:t>Petition to Annul Marriage or, In the Alternative, First Amended Petition for Divorce</w:t>
      </w:r>
      <w:r w:rsidR="00265E1E" w:rsidRPr="00F32ABA">
        <w:rPr>
          <w:rFonts w:eastAsia="Times New Roman" w:cs="Times New Roman"/>
          <w:sz w:val="24"/>
          <w:szCs w:val="24"/>
        </w:rPr>
        <w:t xml:space="preserve"> </w:t>
      </w:r>
      <w:r w:rsidR="00973105" w:rsidRPr="00F32ABA">
        <w:rPr>
          <w:rFonts w:eastAsia="Times New Roman" w:cs="Times New Roman"/>
          <w:sz w:val="24"/>
          <w:szCs w:val="24"/>
        </w:rPr>
        <w:t xml:space="preserve">(“Petition”) </w:t>
      </w:r>
      <w:r w:rsidR="00265E1E" w:rsidRPr="00F32ABA">
        <w:rPr>
          <w:rFonts w:eastAsia="Times New Roman" w:cs="Times New Roman"/>
          <w:sz w:val="24"/>
          <w:szCs w:val="24"/>
        </w:rPr>
        <w:t xml:space="preserve">through which she seeks to “…obtain property, property rights or benefits contrary to, in excess of, or otherwise at variance with [the] Agreement.”  </w:t>
      </w:r>
    </w:p>
    <w:p w14:paraId="198AD9F9" w14:textId="37F537E9" w:rsidR="00265E1E" w:rsidRPr="00F32ABA" w:rsidRDefault="00265E1E" w:rsidP="00265E1E">
      <w:pPr>
        <w:spacing w:before="100" w:beforeAutospacing="1" w:after="100" w:afterAutospacing="1"/>
        <w:ind w:firstLine="720"/>
        <w:jc w:val="both"/>
        <w:rPr>
          <w:rFonts w:eastAsia="Times New Roman" w:cs="Times New Roman"/>
          <w:sz w:val="24"/>
          <w:szCs w:val="24"/>
        </w:rPr>
      </w:pPr>
      <w:r w:rsidRPr="00F32ABA">
        <w:rPr>
          <w:rFonts w:eastAsia="Times New Roman" w:cs="Times New Roman"/>
          <w:sz w:val="24"/>
          <w:szCs w:val="24"/>
        </w:rPr>
        <w:t>By the requests for relief contained within the</w:t>
      </w:r>
      <w:r w:rsidR="00973105" w:rsidRPr="00F32ABA">
        <w:rPr>
          <w:rFonts w:eastAsia="Times New Roman" w:cs="Times New Roman"/>
          <w:sz w:val="24"/>
          <w:szCs w:val="24"/>
        </w:rPr>
        <w:t xml:space="preserve"> </w:t>
      </w:r>
      <w:r w:rsidR="00973105" w:rsidRPr="00F32ABA">
        <w:rPr>
          <w:sz w:val="24"/>
        </w:rPr>
        <w:t>Petition</w:t>
      </w:r>
      <w:r w:rsidR="002E11AA">
        <w:rPr>
          <w:rFonts w:eastAsia="Times New Roman" w:cs="Times New Roman"/>
          <w:sz w:val="24"/>
          <w:szCs w:val="24"/>
        </w:rPr>
        <w:t xml:space="preserve">, ALLISON </w:t>
      </w:r>
      <w:r w:rsidRPr="00F32ABA">
        <w:rPr>
          <w:rFonts w:eastAsia="Times New Roman" w:cs="Times New Roman"/>
          <w:sz w:val="24"/>
          <w:szCs w:val="24"/>
        </w:rPr>
        <w:t>has triggered the penalty and forfeiture clause within Section 9.17 of the Agreement.  As a result, ALLISON is liable to MARK for his reasonable and necessary attorney’s fees and costs incurred to defend his rights under the Agreement.  Further, ALLISON has lost her contractual e</w:t>
      </w:r>
      <w:r w:rsidR="002E11AA">
        <w:rPr>
          <w:rFonts w:eastAsia="Times New Roman" w:cs="Times New Roman"/>
          <w:sz w:val="24"/>
          <w:szCs w:val="24"/>
        </w:rPr>
        <w:t xml:space="preserve">ntitlement to the lump-sum cash </w:t>
      </w:r>
      <w:r w:rsidRPr="00F32ABA">
        <w:rPr>
          <w:rFonts w:eastAsia="Times New Roman" w:cs="Times New Roman"/>
          <w:sz w:val="24"/>
          <w:szCs w:val="24"/>
        </w:rPr>
        <w:t xml:space="preserve">payment payable upon dissolution by MARK to ALLISON under Section 7.3 of the Agreement.  </w:t>
      </w:r>
    </w:p>
    <w:p w14:paraId="7ED8D87B" w14:textId="77777777" w:rsidR="00265E1E" w:rsidRPr="00F32ABA" w:rsidRDefault="00265E1E" w:rsidP="00265E1E">
      <w:pPr>
        <w:tabs>
          <w:tab w:val="left" w:pos="1170"/>
        </w:tabs>
        <w:spacing w:before="100" w:beforeAutospacing="1" w:after="100" w:afterAutospacing="1"/>
        <w:contextualSpacing/>
        <w:jc w:val="center"/>
        <w:rPr>
          <w:rFonts w:eastAsia="Times New Roman" w:cs="Times New Roman"/>
          <w:b/>
          <w:sz w:val="24"/>
          <w:szCs w:val="24"/>
        </w:rPr>
      </w:pPr>
      <w:r w:rsidRPr="00F32ABA">
        <w:rPr>
          <w:rFonts w:eastAsia="Times New Roman" w:cs="Times New Roman"/>
          <w:b/>
          <w:sz w:val="24"/>
          <w:szCs w:val="24"/>
        </w:rPr>
        <w:t>ARGUMENT AND AUTHORITIES</w:t>
      </w:r>
    </w:p>
    <w:p w14:paraId="5FF5DB45" w14:textId="77777777" w:rsidR="00265E1E" w:rsidRPr="00F32ABA" w:rsidRDefault="00265E1E" w:rsidP="00265E1E">
      <w:pPr>
        <w:tabs>
          <w:tab w:val="left" w:pos="1170"/>
        </w:tabs>
        <w:spacing w:before="100" w:beforeAutospacing="1" w:after="100" w:afterAutospacing="1"/>
        <w:ind w:left="540"/>
        <w:contextualSpacing/>
        <w:rPr>
          <w:rFonts w:eastAsia="Times New Roman" w:cs="Times New Roman"/>
          <w:b/>
          <w:sz w:val="24"/>
          <w:szCs w:val="24"/>
        </w:rPr>
      </w:pPr>
    </w:p>
    <w:p w14:paraId="75E9D82E" w14:textId="38DC51CF" w:rsidR="00265E1E" w:rsidRPr="00F32ABA" w:rsidRDefault="00265E1E" w:rsidP="00265E1E">
      <w:pPr>
        <w:spacing w:before="100" w:beforeAutospacing="1" w:after="100" w:afterAutospacing="1"/>
        <w:ind w:firstLine="720"/>
        <w:jc w:val="both"/>
        <w:rPr>
          <w:rFonts w:eastAsia="Times New Roman" w:cs="Times New Roman"/>
          <w:sz w:val="24"/>
          <w:szCs w:val="24"/>
        </w:rPr>
      </w:pPr>
      <w:r w:rsidRPr="00F32ABA">
        <w:rPr>
          <w:rFonts w:eastAsia="Times New Roman" w:cs="Times New Roman"/>
          <w:sz w:val="24"/>
          <w:szCs w:val="24"/>
        </w:rPr>
        <w:t>The Texas Supreme Court has repeatedly recognized that parties "shall have the utmost liberty of contracting, and that their contracts when entered into freely and voluntarily shall be held sacred and shall be enforced by Courts." </w:t>
      </w:r>
      <w:r w:rsidRPr="00F32ABA">
        <w:rPr>
          <w:rFonts w:eastAsia="Times New Roman" w:cs="Times New Roman"/>
          <w:i/>
          <w:iCs/>
          <w:sz w:val="24"/>
          <w:szCs w:val="24"/>
        </w:rPr>
        <w:t>Gym-N-I Playgrounds, Inc. v. Snider,</w:t>
      </w:r>
      <w:r w:rsidRPr="00F32ABA">
        <w:rPr>
          <w:rFonts w:eastAsia="Times New Roman" w:cs="Times New Roman"/>
          <w:sz w:val="24"/>
          <w:szCs w:val="24"/>
        </w:rPr>
        <w:t> 220 S.W.3d 905, 912 (Tex. 2007).  Strong public policy favors freedom of contract</w:t>
      </w:r>
      <w:r w:rsidR="00C751C7" w:rsidRPr="00F32ABA">
        <w:rPr>
          <w:rFonts w:eastAsia="Times New Roman" w:cs="Times New Roman"/>
          <w:sz w:val="24"/>
          <w:szCs w:val="24"/>
        </w:rPr>
        <w:t>,</w:t>
      </w:r>
      <w:r w:rsidRPr="00F32ABA">
        <w:rPr>
          <w:rFonts w:eastAsia="Times New Roman" w:cs="Times New Roman"/>
          <w:sz w:val="24"/>
          <w:szCs w:val="24"/>
        </w:rPr>
        <w:t xml:space="preserve"> and that is "firmly embedded in our jurisprudence." </w:t>
      </w:r>
      <w:r w:rsidRPr="00F32ABA">
        <w:rPr>
          <w:rFonts w:eastAsia="Times New Roman" w:cs="Times New Roman"/>
          <w:i/>
          <w:iCs/>
          <w:sz w:val="24"/>
          <w:szCs w:val="24"/>
        </w:rPr>
        <w:t>Phila. Indem. Ins. Co. v. White,</w:t>
      </w:r>
      <w:r w:rsidRPr="00F32ABA">
        <w:rPr>
          <w:rFonts w:eastAsia="Times New Roman" w:cs="Times New Roman"/>
          <w:sz w:val="24"/>
          <w:szCs w:val="24"/>
        </w:rPr>
        <w:t> 490 S.W.3d 468, 471 (Tex. 2016).  The interpretation of an unambiguous contract is a question of law for the court. </w:t>
      </w:r>
      <w:r w:rsidRPr="00F32ABA">
        <w:rPr>
          <w:rFonts w:eastAsia="Times New Roman" w:cs="Times New Roman"/>
          <w:i/>
          <w:iCs/>
          <w:sz w:val="24"/>
          <w:szCs w:val="24"/>
        </w:rPr>
        <w:t>MCI Telecomms. Corp. v. Tex. Utils. Elec. Co.,</w:t>
      </w:r>
      <w:r w:rsidRPr="00F32ABA">
        <w:rPr>
          <w:rFonts w:eastAsia="Times New Roman" w:cs="Times New Roman"/>
          <w:sz w:val="24"/>
          <w:szCs w:val="24"/>
        </w:rPr>
        <w:t> 995 S.W.2d 647, 650 (Tex. 1999).  The court’s primary objective in contract interpretation is to “…ascertain and give effect to the parties' intent as expressed in the instrument. Objective manifestations of intent control," not the subjective intent of the parties. </w:t>
      </w:r>
      <w:r w:rsidRPr="00F32ABA">
        <w:rPr>
          <w:rFonts w:eastAsia="Times New Roman" w:cs="Times New Roman"/>
          <w:i/>
          <w:iCs/>
          <w:sz w:val="24"/>
          <w:szCs w:val="24"/>
        </w:rPr>
        <w:t>URI, Inc. v. Kleberg Cty.,</w:t>
      </w:r>
      <w:r w:rsidRPr="00F32ABA">
        <w:rPr>
          <w:rFonts w:eastAsia="Times New Roman" w:cs="Times New Roman"/>
          <w:sz w:val="24"/>
          <w:szCs w:val="24"/>
        </w:rPr>
        <w:t> 543 S.W.3d 755, 763-64 (Tex. 2018). Contractual terms are given their plain, ordinary, and generally accepted meaning unless the contract indicates that the parties used a term in a technical or unusual sense. </w:t>
      </w:r>
      <w:r w:rsidR="002E11AA">
        <w:rPr>
          <w:rFonts w:eastAsia="Times New Roman" w:cs="Times New Roman"/>
          <w:i/>
          <w:iCs/>
          <w:sz w:val="24"/>
          <w:szCs w:val="24"/>
        </w:rPr>
        <w:t xml:space="preserve">Dynegy Midstream Servs. v. </w:t>
      </w:r>
      <w:r w:rsidRPr="00F32ABA">
        <w:rPr>
          <w:rFonts w:eastAsia="Times New Roman" w:cs="Times New Roman"/>
          <w:i/>
          <w:iCs/>
          <w:sz w:val="24"/>
          <w:szCs w:val="24"/>
        </w:rPr>
        <w:t>Apache Corp.,</w:t>
      </w:r>
      <w:r w:rsidRPr="00F32ABA">
        <w:rPr>
          <w:rFonts w:eastAsia="Times New Roman" w:cs="Times New Roman"/>
          <w:sz w:val="24"/>
          <w:szCs w:val="24"/>
        </w:rPr>
        <w:t> 294 S.W.3d 164, 168 (Tex. 2009); </w:t>
      </w:r>
      <w:r w:rsidRPr="00F32ABA">
        <w:rPr>
          <w:rFonts w:eastAsia="Times New Roman" w:cs="Times New Roman"/>
          <w:i/>
          <w:iCs/>
          <w:sz w:val="24"/>
          <w:szCs w:val="24"/>
        </w:rPr>
        <w:t>Heritage Res., Inc. v. Nations</w:t>
      </w:r>
      <w:r w:rsidR="00C751C7" w:rsidRPr="00F32ABA">
        <w:rPr>
          <w:rFonts w:eastAsia="Times New Roman" w:cs="Times New Roman"/>
          <w:i/>
          <w:iCs/>
          <w:sz w:val="24"/>
          <w:szCs w:val="24"/>
        </w:rPr>
        <w:t xml:space="preserve"> </w:t>
      </w:r>
      <w:r w:rsidRPr="00F32ABA">
        <w:rPr>
          <w:rFonts w:eastAsia="Times New Roman" w:cs="Times New Roman"/>
          <w:i/>
          <w:iCs/>
          <w:sz w:val="24"/>
          <w:szCs w:val="24"/>
        </w:rPr>
        <w:t>Bank,</w:t>
      </w:r>
      <w:r w:rsidRPr="00F32ABA">
        <w:rPr>
          <w:rFonts w:eastAsia="Times New Roman" w:cs="Times New Roman"/>
          <w:sz w:val="24"/>
          <w:szCs w:val="24"/>
        </w:rPr>
        <w:t xml:space="preserve"> 939 S.W.2d 118, 121 (Tex. 1996). </w:t>
      </w:r>
    </w:p>
    <w:p w14:paraId="27174F0E" w14:textId="46A372A0" w:rsidR="00265E1E" w:rsidRPr="00F32ABA" w:rsidRDefault="00265E1E" w:rsidP="00265E1E">
      <w:pPr>
        <w:spacing w:before="100" w:beforeAutospacing="1" w:after="100" w:afterAutospacing="1"/>
        <w:ind w:firstLine="720"/>
        <w:jc w:val="both"/>
        <w:rPr>
          <w:rFonts w:eastAsia="Times New Roman" w:cs="Times New Roman"/>
          <w:sz w:val="24"/>
          <w:szCs w:val="24"/>
        </w:rPr>
      </w:pPr>
      <w:r w:rsidRPr="00F32ABA">
        <w:rPr>
          <w:rFonts w:eastAsia="Times New Roman" w:cs="Times New Roman"/>
          <w:sz w:val="24"/>
          <w:szCs w:val="24"/>
        </w:rPr>
        <w:t>In Texas, “…courts interpret premarital agreements like other written contracts." </w:t>
      </w:r>
      <w:r w:rsidRPr="00F32ABA">
        <w:rPr>
          <w:rFonts w:eastAsia="Times New Roman" w:cs="Times New Roman"/>
          <w:i/>
          <w:iCs/>
          <w:sz w:val="24"/>
          <w:szCs w:val="24"/>
        </w:rPr>
        <w:t>Williams v. Williams,</w:t>
      </w:r>
      <w:r w:rsidRPr="00F32ABA">
        <w:rPr>
          <w:rFonts w:eastAsia="Times New Roman" w:cs="Times New Roman"/>
          <w:sz w:val="24"/>
          <w:szCs w:val="24"/>
        </w:rPr>
        <w:t> 246 S.W.3d 207, 210 (Tex. App. — Houston [14th Dist.] 2007, no pet.</w:t>
      </w:r>
      <w:r w:rsidR="00C751C7" w:rsidRPr="00F32ABA">
        <w:rPr>
          <w:rFonts w:eastAsia="Times New Roman" w:cs="Times New Roman"/>
          <w:sz w:val="24"/>
          <w:szCs w:val="24"/>
        </w:rPr>
        <w:t>).</w:t>
      </w:r>
      <w:r w:rsidRPr="00F32ABA">
        <w:rPr>
          <w:rFonts w:eastAsia="Times New Roman" w:cs="Times New Roman"/>
          <w:sz w:val="24"/>
          <w:szCs w:val="24"/>
        </w:rPr>
        <w:t xml:space="preserve"> "The </w:t>
      </w:r>
      <w:r w:rsidRPr="00F32ABA">
        <w:rPr>
          <w:rFonts w:eastAsia="Times New Roman" w:cs="Times New Roman"/>
          <w:sz w:val="24"/>
          <w:szCs w:val="24"/>
        </w:rPr>
        <w:lastRenderedPageBreak/>
        <w:t xml:space="preserve">legislature and the people of Texas have made the public policy determination that premarital agreements should be enforced. If we refuse to enforce [a] premarital agreement, we would thwart, rather than advance, our state's public policy enforcing these contracts."  </w:t>
      </w:r>
      <w:r w:rsidRPr="00F32ABA">
        <w:rPr>
          <w:rFonts w:eastAsia="Times New Roman" w:cs="Times New Roman"/>
          <w:i/>
          <w:iCs/>
          <w:sz w:val="24"/>
          <w:szCs w:val="24"/>
        </w:rPr>
        <w:t>Beck v. Beck,</w:t>
      </w:r>
      <w:r w:rsidRPr="00F32ABA">
        <w:rPr>
          <w:rFonts w:eastAsia="Times New Roman" w:cs="Times New Roman"/>
          <w:sz w:val="24"/>
          <w:szCs w:val="24"/>
        </w:rPr>
        <w:t> 814 S.W.2d 745, 748-49 (Tex. 1991).  Equitable exceptions to the enforcement of contracts as written are disfavored. Courts will not rewrite agreements to insert provisions parties could have included or to imply restraints for which they have not bargained. </w:t>
      </w:r>
      <w:r w:rsidRPr="00F32ABA">
        <w:rPr>
          <w:rFonts w:eastAsia="Times New Roman" w:cs="Times New Roman"/>
          <w:i/>
          <w:iCs/>
          <w:sz w:val="24"/>
          <w:szCs w:val="24"/>
        </w:rPr>
        <w:t>Tenneco Inc. v. Enter. Prod. Co.,</w:t>
      </w:r>
      <w:r w:rsidRPr="00F32ABA">
        <w:rPr>
          <w:rFonts w:eastAsia="Times New Roman" w:cs="Times New Roman"/>
          <w:sz w:val="24"/>
          <w:szCs w:val="24"/>
        </w:rPr>
        <w:t> 925 S.W.2d 640, 646 (Tex. 1996).  “Where a valid contract prescribes particular remedies or imposes particular obligations, equity generally must yield unless the contract violates positive law or offends public policy." </w:t>
      </w:r>
      <w:r w:rsidRPr="00F32ABA">
        <w:rPr>
          <w:rFonts w:eastAsia="Times New Roman" w:cs="Times New Roman"/>
          <w:i/>
          <w:iCs/>
          <w:sz w:val="24"/>
          <w:szCs w:val="24"/>
        </w:rPr>
        <w:t>Fortis Benefits v. Cantu,</w:t>
      </w:r>
      <w:r w:rsidRPr="00F32ABA">
        <w:rPr>
          <w:rFonts w:eastAsia="Times New Roman" w:cs="Times New Roman"/>
          <w:sz w:val="24"/>
          <w:szCs w:val="24"/>
        </w:rPr>
        <w:t xml:space="preserve"> 234 S.W.3d 642, 648-49 (Tex. 2007).  </w:t>
      </w:r>
    </w:p>
    <w:p w14:paraId="444086C1" w14:textId="0E5C8AFF" w:rsidR="00265E1E" w:rsidRPr="00F32ABA" w:rsidRDefault="00265E1E" w:rsidP="00265E1E">
      <w:pPr>
        <w:spacing w:before="100" w:beforeAutospacing="1" w:after="100" w:afterAutospacing="1"/>
        <w:ind w:firstLine="720"/>
        <w:jc w:val="both"/>
        <w:rPr>
          <w:rFonts w:eastAsia="Times New Roman" w:cs="Times New Roman"/>
          <w:sz w:val="24"/>
          <w:szCs w:val="24"/>
        </w:rPr>
      </w:pPr>
      <w:r w:rsidRPr="00F32ABA">
        <w:rPr>
          <w:rFonts w:eastAsia="Times New Roman" w:cs="Times New Roman"/>
          <w:sz w:val="24"/>
          <w:szCs w:val="24"/>
        </w:rPr>
        <w:t xml:space="preserve">Texas Courts have routinely upheld forfeiture clauses. </w:t>
      </w:r>
      <w:r w:rsidRPr="00F32ABA">
        <w:rPr>
          <w:rFonts w:eastAsia="Times New Roman" w:cs="Times New Roman"/>
          <w:i/>
          <w:sz w:val="24"/>
          <w:szCs w:val="24"/>
        </w:rPr>
        <w:t>See Gunter v. Pogue</w:t>
      </w:r>
      <w:r w:rsidRPr="00F32ABA">
        <w:rPr>
          <w:rFonts w:eastAsia="Times New Roman" w:cs="Times New Roman"/>
          <w:sz w:val="24"/>
          <w:szCs w:val="24"/>
        </w:rPr>
        <w:t>, 672 S.W.2d 840, 842 (Tex.</w:t>
      </w:r>
      <w:r w:rsidR="00C751C7" w:rsidRPr="00F32ABA">
        <w:rPr>
          <w:rFonts w:eastAsia="Times New Roman" w:cs="Times New Roman"/>
          <w:sz w:val="24"/>
          <w:szCs w:val="24"/>
        </w:rPr>
        <w:t xml:space="preserve"> </w:t>
      </w:r>
      <w:r w:rsidRPr="00F32ABA">
        <w:rPr>
          <w:rFonts w:eastAsia="Times New Roman" w:cs="Times New Roman"/>
          <w:sz w:val="24"/>
          <w:szCs w:val="24"/>
        </w:rPr>
        <w:t xml:space="preserve">App.—Corpus Christi 1984, writ ref’d n.r.e.)(“As a general rule forfeiture provisions, or </w:t>
      </w:r>
      <w:r w:rsidRPr="00F32ABA">
        <w:rPr>
          <w:rFonts w:eastAsia="Times New Roman" w:cs="Times New Roman"/>
          <w:i/>
          <w:sz w:val="24"/>
          <w:szCs w:val="24"/>
        </w:rPr>
        <w:t>in terrorem</w:t>
      </w:r>
      <w:r w:rsidRPr="00F32ABA">
        <w:rPr>
          <w:rFonts w:eastAsia="Times New Roman" w:cs="Times New Roman"/>
          <w:sz w:val="24"/>
          <w:szCs w:val="24"/>
        </w:rPr>
        <w:t xml:space="preserve"> clauses, in a will are to be construed strictly, and a breach of such clause should be declared only when the acts of the parties come within the express terms of the clause.”)</w:t>
      </w:r>
      <w:r w:rsidR="0087304A" w:rsidRPr="00F32ABA">
        <w:rPr>
          <w:rFonts w:eastAsia="Times New Roman" w:cs="Times New Roman"/>
          <w:sz w:val="24"/>
          <w:szCs w:val="24"/>
        </w:rPr>
        <w:t>.</w:t>
      </w:r>
      <w:r w:rsidRPr="00F32ABA">
        <w:rPr>
          <w:rFonts w:eastAsia="Times New Roman" w:cs="Times New Roman"/>
          <w:sz w:val="24"/>
          <w:szCs w:val="24"/>
        </w:rPr>
        <w:t xml:space="preserve">  When </w:t>
      </w:r>
      <w:r w:rsidR="0087304A" w:rsidRPr="00F32ABA">
        <w:rPr>
          <w:rFonts w:eastAsia="Times New Roman" w:cs="Times New Roman"/>
          <w:sz w:val="24"/>
          <w:szCs w:val="24"/>
        </w:rPr>
        <w:t>p</w:t>
      </w:r>
      <w:r w:rsidRPr="00F32ABA">
        <w:rPr>
          <w:rFonts w:eastAsia="Times New Roman" w:cs="Times New Roman"/>
          <w:sz w:val="24"/>
          <w:szCs w:val="24"/>
        </w:rPr>
        <w:t xml:space="preserve">arties in unambiguous language write into their agreement a provision for forfeiture, the courts will enforce the provision.  </w:t>
      </w:r>
      <w:r w:rsidRPr="00F32ABA">
        <w:rPr>
          <w:rFonts w:eastAsia="Times New Roman" w:cs="Times New Roman"/>
          <w:i/>
          <w:sz w:val="24"/>
          <w:szCs w:val="24"/>
        </w:rPr>
        <w:t>See Anderson v. Powell</w:t>
      </w:r>
      <w:r w:rsidRPr="00F32ABA">
        <w:rPr>
          <w:rFonts w:eastAsia="Times New Roman" w:cs="Times New Roman"/>
          <w:sz w:val="24"/>
          <w:szCs w:val="24"/>
        </w:rPr>
        <w:t>, 38 S.W.3d 365, 366 (Tex.</w:t>
      </w:r>
      <w:r w:rsidR="0087304A" w:rsidRPr="00F32ABA">
        <w:rPr>
          <w:rFonts w:eastAsia="Times New Roman" w:cs="Times New Roman"/>
          <w:sz w:val="24"/>
          <w:szCs w:val="24"/>
        </w:rPr>
        <w:t xml:space="preserve"> </w:t>
      </w:r>
      <w:r w:rsidRPr="00F32ABA">
        <w:rPr>
          <w:rFonts w:eastAsia="Times New Roman" w:cs="Times New Roman"/>
          <w:sz w:val="24"/>
          <w:szCs w:val="24"/>
        </w:rPr>
        <w:t xml:space="preserve">App.—Dallas 1964, no writ).  A clear and specific forfeiture provision in a contract will be honored.  </w:t>
      </w:r>
      <w:r w:rsidRPr="00F32ABA">
        <w:rPr>
          <w:rFonts w:eastAsia="Times New Roman" w:cs="Times New Roman"/>
          <w:i/>
          <w:sz w:val="24"/>
          <w:szCs w:val="24"/>
        </w:rPr>
        <w:t>Meridien Hotels, Inc. v. LHO Financing Partnership I, L.P.</w:t>
      </w:r>
      <w:r w:rsidRPr="00F32ABA">
        <w:rPr>
          <w:rFonts w:eastAsia="Times New Roman" w:cs="Times New Roman"/>
          <w:sz w:val="24"/>
          <w:szCs w:val="24"/>
        </w:rPr>
        <w:t>, 255 S.W.3d 807, 819 (Tex.</w:t>
      </w:r>
      <w:r w:rsidR="0087304A" w:rsidRPr="00F32ABA">
        <w:rPr>
          <w:rFonts w:eastAsia="Times New Roman" w:cs="Times New Roman"/>
          <w:sz w:val="24"/>
          <w:szCs w:val="24"/>
        </w:rPr>
        <w:t xml:space="preserve"> </w:t>
      </w:r>
      <w:r w:rsidRPr="00F32ABA">
        <w:rPr>
          <w:rFonts w:eastAsia="Times New Roman" w:cs="Times New Roman"/>
          <w:sz w:val="24"/>
          <w:szCs w:val="24"/>
        </w:rPr>
        <w:t>App.—Dallas 2008, no pet</w:t>
      </w:r>
      <w:r w:rsidR="0087304A" w:rsidRPr="00F32ABA">
        <w:rPr>
          <w:rFonts w:eastAsia="Times New Roman" w:cs="Times New Roman"/>
          <w:sz w:val="24"/>
          <w:szCs w:val="24"/>
        </w:rPr>
        <w:t>.</w:t>
      </w:r>
      <w:r w:rsidRPr="00F32ABA">
        <w:rPr>
          <w:rFonts w:eastAsia="Times New Roman" w:cs="Times New Roman"/>
          <w:sz w:val="24"/>
          <w:szCs w:val="24"/>
        </w:rPr>
        <w:t xml:space="preserve">).  </w:t>
      </w:r>
    </w:p>
    <w:p w14:paraId="7A7E7C91" w14:textId="31117E74" w:rsidR="00265E1E" w:rsidRPr="00F32ABA" w:rsidRDefault="00265E1E" w:rsidP="00265E1E">
      <w:pPr>
        <w:spacing w:before="100" w:beforeAutospacing="1" w:after="100" w:afterAutospacing="1"/>
        <w:jc w:val="center"/>
        <w:rPr>
          <w:rFonts w:eastAsia="Times New Roman" w:cs="Times New Roman"/>
          <w:b/>
          <w:sz w:val="24"/>
          <w:szCs w:val="24"/>
        </w:rPr>
      </w:pPr>
      <w:r w:rsidRPr="00F32ABA">
        <w:rPr>
          <w:rFonts w:eastAsia="Times New Roman" w:cs="Times New Roman"/>
          <w:b/>
          <w:sz w:val="24"/>
          <w:szCs w:val="24"/>
        </w:rPr>
        <w:t>ALLISON’S PLEADINGS TRIGGER THE PENALTY AND FORFEITURE CLAUSE</w:t>
      </w:r>
    </w:p>
    <w:p w14:paraId="617DBA70" w14:textId="19E205B1" w:rsidR="00265E1E" w:rsidRPr="00F32ABA" w:rsidRDefault="00265E1E" w:rsidP="00265E1E">
      <w:pPr>
        <w:spacing w:before="100" w:beforeAutospacing="1" w:after="100" w:afterAutospacing="1"/>
        <w:ind w:firstLine="720"/>
        <w:jc w:val="both"/>
        <w:rPr>
          <w:rFonts w:eastAsia="Times New Roman" w:cs="Times New Roman"/>
          <w:sz w:val="24"/>
          <w:szCs w:val="24"/>
        </w:rPr>
      </w:pPr>
      <w:r w:rsidRPr="00F32ABA">
        <w:rPr>
          <w:rFonts w:eastAsia="Times New Roman" w:cs="Times New Roman"/>
          <w:sz w:val="24"/>
          <w:szCs w:val="24"/>
        </w:rPr>
        <w:t>In this case, ALLISON and MARK entered into a Premarital Agreement and stipulated to their mutual desire that “…conflicts regarding financial matters be minimized during their planned marriage…”, and their mutual intention that “…the Agreement is intended to prevent such conflicts.”  To that end, Section 7.3 of the Agreement provided ALLISON a right to a generous sum of cash in the event of a dissolution of the parties’ marriage.  ALLISON AND MARK also expressly agreed to a penalty and forfeiture clause in Section 9.17, which provides clear consequences if ALLISON seeks to invalidate any provision of the Agreement or obtain property, property rights or benefits contrary to, in excess of, or otherwise at variance with the Agreement.</w:t>
      </w:r>
    </w:p>
    <w:p w14:paraId="2F664CF4" w14:textId="77777777" w:rsidR="00265E1E" w:rsidRPr="00F32ABA" w:rsidRDefault="00265E1E" w:rsidP="00265E1E">
      <w:pPr>
        <w:spacing w:before="100" w:beforeAutospacing="1" w:after="100" w:afterAutospacing="1"/>
        <w:ind w:firstLine="720"/>
        <w:jc w:val="both"/>
        <w:rPr>
          <w:rFonts w:eastAsia="Times New Roman" w:cs="Times New Roman"/>
          <w:sz w:val="24"/>
          <w:szCs w:val="24"/>
        </w:rPr>
      </w:pPr>
      <w:r w:rsidRPr="00F32ABA">
        <w:rPr>
          <w:rFonts w:eastAsia="Times New Roman" w:cs="Times New Roman"/>
          <w:sz w:val="24"/>
          <w:szCs w:val="24"/>
        </w:rPr>
        <w:t xml:space="preserve">By the terms of the </w:t>
      </w:r>
      <w:r w:rsidR="00823DA6" w:rsidRPr="00F32ABA">
        <w:rPr>
          <w:rFonts w:eastAsia="Times New Roman" w:cs="Times New Roman"/>
          <w:sz w:val="24"/>
          <w:szCs w:val="24"/>
        </w:rPr>
        <w:t xml:space="preserve">Premarital </w:t>
      </w:r>
      <w:r w:rsidRPr="00F32ABA">
        <w:rPr>
          <w:rFonts w:eastAsia="Times New Roman" w:cs="Times New Roman"/>
          <w:sz w:val="24"/>
          <w:szCs w:val="24"/>
        </w:rPr>
        <w:t>Agreement, ALLISON and MARK agreed in relevant part to the following:</w:t>
      </w:r>
    </w:p>
    <w:p w14:paraId="02A3068F" w14:textId="77777777" w:rsidR="00265E1E" w:rsidRPr="00F32ABA" w:rsidRDefault="00265E1E" w:rsidP="00265E1E">
      <w:pPr>
        <w:numPr>
          <w:ilvl w:val="0"/>
          <w:numId w:val="3"/>
        </w:numPr>
        <w:spacing w:before="100" w:beforeAutospacing="1" w:after="100" w:afterAutospacing="1"/>
        <w:ind w:left="1080"/>
        <w:contextualSpacing/>
        <w:jc w:val="both"/>
        <w:rPr>
          <w:rFonts w:eastAsia="Times New Roman" w:cs="Times New Roman"/>
          <w:sz w:val="24"/>
          <w:szCs w:val="24"/>
        </w:rPr>
      </w:pPr>
      <w:r w:rsidRPr="00F32ABA">
        <w:rPr>
          <w:rFonts w:eastAsia="Times New Roman" w:cs="Times New Roman"/>
          <w:sz w:val="24"/>
          <w:szCs w:val="24"/>
        </w:rPr>
        <w:t xml:space="preserve">Stipulations and Recitals – Page 2: </w:t>
      </w:r>
    </w:p>
    <w:p w14:paraId="433F4E3A" w14:textId="77777777" w:rsidR="00265E1E" w:rsidRPr="00F32ABA" w:rsidRDefault="00265E1E" w:rsidP="00265E1E">
      <w:pPr>
        <w:spacing w:before="100" w:beforeAutospacing="1" w:after="100" w:afterAutospacing="1"/>
        <w:ind w:left="1080"/>
        <w:contextualSpacing/>
        <w:jc w:val="both"/>
        <w:rPr>
          <w:rFonts w:eastAsia="Times New Roman" w:cs="Times New Roman"/>
          <w:sz w:val="24"/>
          <w:szCs w:val="24"/>
        </w:rPr>
      </w:pPr>
    </w:p>
    <w:p w14:paraId="6EA8DC57" w14:textId="77777777" w:rsidR="00265E1E" w:rsidRPr="00F32ABA" w:rsidRDefault="00265E1E" w:rsidP="00265E1E">
      <w:pPr>
        <w:spacing w:before="100" w:beforeAutospacing="1" w:after="100" w:afterAutospacing="1"/>
        <w:ind w:left="1440"/>
        <w:contextualSpacing/>
        <w:jc w:val="both"/>
        <w:rPr>
          <w:rFonts w:eastAsia="Times New Roman" w:cs="Times New Roman"/>
          <w:sz w:val="24"/>
          <w:szCs w:val="24"/>
        </w:rPr>
      </w:pPr>
      <w:r w:rsidRPr="00F32ABA">
        <w:rPr>
          <w:rFonts w:eastAsia="Times New Roman" w:cs="Times New Roman"/>
          <w:sz w:val="24"/>
          <w:szCs w:val="24"/>
        </w:rPr>
        <w:t>“By this Agreement, ALLISON and MARK intend to…waive certain rights that either of them, or the survivor of them, could claim to the property or the estate of the other;”</w:t>
      </w:r>
    </w:p>
    <w:p w14:paraId="5F19DB35" w14:textId="77777777" w:rsidR="00265E1E" w:rsidRPr="00F32ABA" w:rsidRDefault="00265E1E" w:rsidP="00265E1E">
      <w:pPr>
        <w:spacing w:before="100" w:beforeAutospacing="1" w:after="100" w:afterAutospacing="1"/>
        <w:ind w:left="1440"/>
        <w:contextualSpacing/>
        <w:jc w:val="both"/>
        <w:rPr>
          <w:rFonts w:eastAsia="Times New Roman" w:cs="Times New Roman"/>
          <w:sz w:val="24"/>
          <w:szCs w:val="24"/>
        </w:rPr>
      </w:pPr>
    </w:p>
    <w:p w14:paraId="7DFB65C7" w14:textId="77777777" w:rsidR="00265E1E" w:rsidRPr="00F32ABA" w:rsidRDefault="00265E1E" w:rsidP="00265E1E">
      <w:pPr>
        <w:numPr>
          <w:ilvl w:val="0"/>
          <w:numId w:val="3"/>
        </w:numPr>
        <w:spacing w:before="100" w:beforeAutospacing="1" w:after="100" w:afterAutospacing="1"/>
        <w:ind w:left="1080"/>
        <w:contextualSpacing/>
        <w:jc w:val="both"/>
        <w:rPr>
          <w:rFonts w:eastAsia="Times New Roman" w:cs="Times New Roman"/>
          <w:sz w:val="24"/>
          <w:szCs w:val="24"/>
        </w:rPr>
      </w:pPr>
      <w:r w:rsidRPr="00F32ABA">
        <w:rPr>
          <w:rFonts w:eastAsia="Times New Roman" w:cs="Times New Roman"/>
          <w:sz w:val="24"/>
          <w:szCs w:val="24"/>
        </w:rPr>
        <w:t xml:space="preserve">Stipulations and Recitals – Page 2: </w:t>
      </w:r>
    </w:p>
    <w:p w14:paraId="307C8838" w14:textId="77777777" w:rsidR="00BB41B1" w:rsidRPr="00F32ABA" w:rsidRDefault="00BB41B1" w:rsidP="00C60185">
      <w:pPr>
        <w:spacing w:before="100" w:beforeAutospacing="1" w:after="100" w:afterAutospacing="1"/>
        <w:ind w:left="1080"/>
        <w:contextualSpacing/>
        <w:jc w:val="both"/>
        <w:rPr>
          <w:rFonts w:eastAsia="Times New Roman" w:cs="Times New Roman"/>
          <w:sz w:val="24"/>
          <w:szCs w:val="24"/>
        </w:rPr>
      </w:pPr>
    </w:p>
    <w:p w14:paraId="348288D0" w14:textId="77777777" w:rsidR="00265E1E" w:rsidRPr="00F32ABA" w:rsidRDefault="00265E1E" w:rsidP="00265E1E">
      <w:pPr>
        <w:spacing w:before="100" w:beforeAutospacing="1" w:after="100" w:afterAutospacing="1"/>
        <w:ind w:left="1440"/>
        <w:jc w:val="both"/>
        <w:rPr>
          <w:rFonts w:eastAsia="Times New Roman" w:cs="Times New Roman"/>
          <w:sz w:val="24"/>
          <w:szCs w:val="24"/>
        </w:rPr>
      </w:pPr>
      <w:r w:rsidRPr="00F32ABA">
        <w:rPr>
          <w:rFonts w:eastAsia="Times New Roman" w:cs="Times New Roman"/>
          <w:sz w:val="24"/>
          <w:szCs w:val="24"/>
        </w:rPr>
        <w:t>“By this Agreement, ALLISON and MARK intend to…avoid the accumulation of any community property during their marriage;”</w:t>
      </w:r>
    </w:p>
    <w:p w14:paraId="0EC75D72" w14:textId="77777777" w:rsidR="00265E1E" w:rsidRPr="00F32ABA" w:rsidRDefault="00265E1E" w:rsidP="00265E1E">
      <w:pPr>
        <w:numPr>
          <w:ilvl w:val="0"/>
          <w:numId w:val="3"/>
        </w:numPr>
        <w:spacing w:before="100" w:beforeAutospacing="1" w:after="100" w:afterAutospacing="1"/>
        <w:ind w:left="1080"/>
        <w:contextualSpacing/>
        <w:jc w:val="both"/>
        <w:rPr>
          <w:rFonts w:eastAsia="Times New Roman" w:cs="Times New Roman"/>
          <w:sz w:val="24"/>
          <w:szCs w:val="24"/>
        </w:rPr>
      </w:pPr>
      <w:r w:rsidRPr="00F32ABA">
        <w:rPr>
          <w:rFonts w:eastAsia="Times New Roman" w:cs="Times New Roman"/>
          <w:sz w:val="24"/>
          <w:szCs w:val="24"/>
        </w:rPr>
        <w:t>Stipulations and Recitals – Page 2:</w:t>
      </w:r>
    </w:p>
    <w:p w14:paraId="0E716309" w14:textId="77777777" w:rsidR="00265E1E" w:rsidRPr="00F32ABA" w:rsidRDefault="00265E1E" w:rsidP="0049273A">
      <w:pPr>
        <w:spacing w:before="240" w:after="100" w:afterAutospacing="1"/>
        <w:ind w:left="1440"/>
        <w:contextualSpacing/>
        <w:jc w:val="both"/>
        <w:rPr>
          <w:rFonts w:eastAsia="Times New Roman" w:cs="Times New Roman"/>
          <w:caps/>
          <w:sz w:val="24"/>
          <w:szCs w:val="24"/>
        </w:rPr>
      </w:pPr>
      <w:r w:rsidRPr="00F32ABA">
        <w:rPr>
          <w:rFonts w:eastAsia="Times New Roman" w:cs="Times New Roman"/>
          <w:caps/>
          <w:sz w:val="24"/>
          <w:szCs w:val="24"/>
        </w:rPr>
        <w:lastRenderedPageBreak/>
        <w:t xml:space="preserve">“ALLISON and MARK further intend that the only way for there to be community property of their Marriage is with a written conversion agreement properly executed under Texas law.” </w:t>
      </w:r>
    </w:p>
    <w:p w14:paraId="2EF11B6D" w14:textId="77777777" w:rsidR="00265E1E" w:rsidRPr="00F32ABA" w:rsidRDefault="00265E1E" w:rsidP="00265E1E">
      <w:pPr>
        <w:spacing w:before="100" w:beforeAutospacing="1" w:after="100" w:afterAutospacing="1"/>
        <w:ind w:left="1440"/>
        <w:contextualSpacing/>
        <w:jc w:val="both"/>
        <w:rPr>
          <w:rFonts w:eastAsia="Times New Roman" w:cs="Times New Roman"/>
          <w:sz w:val="24"/>
          <w:szCs w:val="24"/>
        </w:rPr>
      </w:pPr>
    </w:p>
    <w:p w14:paraId="72B5DF30" w14:textId="77777777" w:rsidR="00265E1E" w:rsidRPr="00F32ABA" w:rsidRDefault="00265E1E" w:rsidP="00265E1E">
      <w:pPr>
        <w:numPr>
          <w:ilvl w:val="0"/>
          <w:numId w:val="3"/>
        </w:numPr>
        <w:spacing w:before="100" w:beforeAutospacing="1" w:after="100" w:afterAutospacing="1"/>
        <w:ind w:left="1080"/>
        <w:contextualSpacing/>
        <w:jc w:val="both"/>
        <w:rPr>
          <w:rFonts w:eastAsia="Times New Roman" w:cs="Times New Roman"/>
          <w:sz w:val="24"/>
          <w:szCs w:val="24"/>
        </w:rPr>
      </w:pPr>
      <w:r w:rsidRPr="00F32ABA">
        <w:rPr>
          <w:rFonts w:eastAsia="Times New Roman" w:cs="Times New Roman"/>
          <w:sz w:val="24"/>
          <w:szCs w:val="24"/>
        </w:rPr>
        <w:t xml:space="preserve">Section 2.7 – Page 5-6: </w:t>
      </w:r>
    </w:p>
    <w:p w14:paraId="4640364A" w14:textId="77777777" w:rsidR="00BB41B1" w:rsidRPr="00F32ABA" w:rsidRDefault="00BB41B1" w:rsidP="00C60185">
      <w:pPr>
        <w:spacing w:before="100" w:beforeAutospacing="1" w:after="100" w:afterAutospacing="1"/>
        <w:ind w:left="1080"/>
        <w:contextualSpacing/>
        <w:jc w:val="both"/>
        <w:rPr>
          <w:rFonts w:eastAsia="Times New Roman" w:cs="Times New Roman"/>
          <w:sz w:val="24"/>
          <w:szCs w:val="24"/>
        </w:rPr>
      </w:pPr>
    </w:p>
    <w:p w14:paraId="286F867B" w14:textId="77777777" w:rsidR="00265E1E" w:rsidRPr="00F32ABA" w:rsidRDefault="00265E1E" w:rsidP="00265E1E">
      <w:pPr>
        <w:tabs>
          <w:tab w:val="left" w:pos="1440"/>
        </w:tabs>
        <w:autoSpaceDE w:val="0"/>
        <w:autoSpaceDN w:val="0"/>
        <w:adjustRightInd w:val="0"/>
        <w:spacing w:after="240" w:line="280" w:lineRule="atLeast"/>
        <w:ind w:left="1440"/>
        <w:jc w:val="both"/>
        <w:rPr>
          <w:rFonts w:eastAsia="Times New Roman" w:cs="Times New Roman"/>
          <w:sz w:val="24"/>
          <w:szCs w:val="24"/>
        </w:rPr>
      </w:pPr>
      <w:r w:rsidRPr="00F32ABA">
        <w:rPr>
          <w:rFonts w:eastAsia="Times New Roman" w:cs="Times New Roman"/>
          <w:sz w:val="24"/>
          <w:szCs w:val="24"/>
        </w:rPr>
        <w:t xml:space="preserve">“Notwithstanding anything in this Agreement to the contrary, the Parties specifically agree that any property acquired solely in the name of ALLISON or MARK during their Marriage, regardless of the source of the consideration paid for the acquired property, will be owned only as the separate property of the Party in whose name the property is purchased or title is taken, and said property will be free of any claim of reimbursement on the part of the other Party.  ALLISON shall retain, as her sole and separate property, all property standing solely in ALLISON’s name, whether now owned or hereafter acquired, and ALLISON shall have the absolute and unrestricted right to dispose of such separate property, by sale, gift, devise or in any other manner, free from any claim that may be made by MARK by reason of their marriage or otherwise, and with the same effect as if no marriage had been consummated between ALLISON and MARK.  MARK shall retain, as his sole and separate property, all property standing solely in MARK’s name, whether now owned or hereafter acquired, and MARK shall have the absolute and unrestricted right to dispose of such separate property, by sale, gift, devise or in any other manner, free from any claim that may be made by ALLISON by reason of their marriage or otherwise, and with the same effect as if no marriage had been consummated between ALLISON and MARK.”  </w:t>
      </w:r>
    </w:p>
    <w:p w14:paraId="5986EF1A" w14:textId="02BE3ADB" w:rsidR="00265E1E" w:rsidRPr="00F32ABA" w:rsidRDefault="00265E1E" w:rsidP="00265E1E">
      <w:pPr>
        <w:spacing w:before="100" w:beforeAutospacing="1"/>
        <w:ind w:firstLine="720"/>
        <w:jc w:val="both"/>
        <w:rPr>
          <w:rFonts w:eastAsia="Times New Roman" w:cs="Times New Roman"/>
          <w:sz w:val="24"/>
          <w:szCs w:val="24"/>
        </w:rPr>
      </w:pPr>
      <w:r w:rsidRPr="00F32ABA">
        <w:rPr>
          <w:rFonts w:eastAsia="Times New Roman" w:cs="Times New Roman"/>
          <w:sz w:val="24"/>
          <w:szCs w:val="24"/>
        </w:rPr>
        <w:t>Within ALLISON’s</w:t>
      </w:r>
      <w:r w:rsidR="00BB41B1" w:rsidRPr="00F32ABA">
        <w:rPr>
          <w:rFonts w:eastAsia="Times New Roman" w:cs="Times New Roman"/>
          <w:sz w:val="24"/>
          <w:szCs w:val="24"/>
        </w:rPr>
        <w:t xml:space="preserve"> </w:t>
      </w:r>
      <w:r w:rsidR="00BB41B1" w:rsidRPr="00F32ABA">
        <w:rPr>
          <w:sz w:val="24"/>
        </w:rPr>
        <w:t>Petition</w:t>
      </w:r>
      <w:r w:rsidR="00BB41B1" w:rsidRPr="00F32ABA">
        <w:rPr>
          <w:rFonts w:eastAsia="Times New Roman" w:cs="Times New Roman"/>
          <w:sz w:val="24"/>
          <w:szCs w:val="24"/>
        </w:rPr>
        <w:t>,</w:t>
      </w:r>
      <w:r w:rsidRPr="00F32ABA">
        <w:rPr>
          <w:rFonts w:eastAsia="Times New Roman" w:cs="Times New Roman"/>
          <w:sz w:val="24"/>
          <w:szCs w:val="24"/>
        </w:rPr>
        <w:t xml:space="preserve"> ALLISON requests for the Court to: </w:t>
      </w:r>
    </w:p>
    <w:p w14:paraId="288FB128" w14:textId="77777777" w:rsidR="00265E1E" w:rsidRPr="00F32ABA" w:rsidRDefault="00265E1E" w:rsidP="00265E1E">
      <w:pPr>
        <w:ind w:firstLine="720"/>
        <w:jc w:val="both"/>
        <w:rPr>
          <w:rFonts w:eastAsia="Times New Roman" w:cs="Times New Roman"/>
          <w:sz w:val="24"/>
          <w:szCs w:val="24"/>
        </w:rPr>
      </w:pPr>
    </w:p>
    <w:p w14:paraId="2B8C16E9" w14:textId="77777777" w:rsidR="00265E1E" w:rsidRPr="00F32ABA" w:rsidRDefault="00265E1E" w:rsidP="00265E1E">
      <w:pPr>
        <w:widowControl w:val="0"/>
        <w:numPr>
          <w:ilvl w:val="0"/>
          <w:numId w:val="2"/>
        </w:numPr>
        <w:suppressAutoHyphens/>
        <w:autoSpaceDE w:val="0"/>
        <w:autoSpaceDN w:val="0"/>
        <w:adjustRightInd w:val="0"/>
        <w:spacing w:after="240" w:line="280" w:lineRule="atLeast"/>
        <w:jc w:val="both"/>
        <w:rPr>
          <w:rFonts w:eastAsia="Times New Roman" w:cs="Times New Roman"/>
          <w:sz w:val="24"/>
          <w:szCs w:val="24"/>
        </w:rPr>
      </w:pPr>
      <w:r w:rsidRPr="00F32ABA">
        <w:rPr>
          <w:rFonts w:eastAsia="Times New Roman" w:cs="Times New Roman"/>
          <w:sz w:val="24"/>
          <w:szCs w:val="24"/>
        </w:rPr>
        <w:t>Find that the premarital agreement never went into effect and for a division of accumulated property in a manner that the Court deems just and right, as provided by law;</w:t>
      </w:r>
    </w:p>
    <w:p w14:paraId="3857B825" w14:textId="77777777" w:rsidR="00265E1E" w:rsidRPr="00F32ABA" w:rsidRDefault="00265E1E" w:rsidP="00265E1E">
      <w:pPr>
        <w:widowControl w:val="0"/>
        <w:numPr>
          <w:ilvl w:val="0"/>
          <w:numId w:val="2"/>
        </w:numPr>
        <w:suppressAutoHyphens/>
        <w:autoSpaceDE w:val="0"/>
        <w:autoSpaceDN w:val="0"/>
        <w:adjustRightInd w:val="0"/>
        <w:spacing w:after="240" w:line="280" w:lineRule="atLeast"/>
        <w:jc w:val="both"/>
        <w:rPr>
          <w:rFonts w:eastAsia="Times New Roman" w:cs="Times New Roman"/>
          <w:sz w:val="24"/>
          <w:szCs w:val="24"/>
        </w:rPr>
      </w:pPr>
      <w:r w:rsidRPr="00F32ABA">
        <w:rPr>
          <w:rFonts w:eastAsia="Times New Roman" w:cs="Times New Roman"/>
          <w:sz w:val="24"/>
          <w:szCs w:val="24"/>
        </w:rPr>
        <w:t>Find that the premarital agreement is unenforceable in part or in whole;</w:t>
      </w:r>
    </w:p>
    <w:p w14:paraId="18403292" w14:textId="77777777" w:rsidR="00265E1E" w:rsidRPr="00F32ABA" w:rsidRDefault="00265E1E" w:rsidP="00265E1E">
      <w:pPr>
        <w:widowControl w:val="0"/>
        <w:numPr>
          <w:ilvl w:val="0"/>
          <w:numId w:val="2"/>
        </w:numPr>
        <w:suppressAutoHyphens/>
        <w:autoSpaceDE w:val="0"/>
        <w:autoSpaceDN w:val="0"/>
        <w:adjustRightInd w:val="0"/>
        <w:spacing w:after="240" w:line="280" w:lineRule="atLeast"/>
        <w:jc w:val="both"/>
        <w:rPr>
          <w:rFonts w:eastAsia="Times New Roman" w:cs="Times New Roman"/>
          <w:sz w:val="24"/>
          <w:szCs w:val="24"/>
        </w:rPr>
      </w:pPr>
      <w:r w:rsidRPr="00F32ABA">
        <w:rPr>
          <w:rFonts w:eastAsia="Times New Roman" w:cs="Times New Roman"/>
          <w:sz w:val="24"/>
          <w:szCs w:val="24"/>
        </w:rPr>
        <w:t>Find that Respondent is estopped from enforcing some or all of the terms of the premarital agreement;</w:t>
      </w:r>
    </w:p>
    <w:p w14:paraId="71E0B752" w14:textId="77777777" w:rsidR="00265E1E" w:rsidRPr="00F32ABA" w:rsidRDefault="00265E1E" w:rsidP="00265E1E">
      <w:pPr>
        <w:widowControl w:val="0"/>
        <w:numPr>
          <w:ilvl w:val="0"/>
          <w:numId w:val="2"/>
        </w:numPr>
        <w:suppressAutoHyphens/>
        <w:autoSpaceDE w:val="0"/>
        <w:autoSpaceDN w:val="0"/>
        <w:adjustRightInd w:val="0"/>
        <w:spacing w:after="240" w:line="280" w:lineRule="atLeast"/>
        <w:jc w:val="both"/>
        <w:rPr>
          <w:rFonts w:eastAsia="Times New Roman" w:cs="Times New Roman"/>
          <w:sz w:val="24"/>
          <w:szCs w:val="24"/>
        </w:rPr>
      </w:pPr>
      <w:r w:rsidRPr="00F32ABA">
        <w:rPr>
          <w:rFonts w:eastAsia="Times New Roman" w:cs="Times New Roman"/>
          <w:sz w:val="24"/>
          <w:szCs w:val="24"/>
        </w:rPr>
        <w:t>Set aside the premarital agreement;</w:t>
      </w:r>
    </w:p>
    <w:p w14:paraId="54E5AC0A" w14:textId="77777777" w:rsidR="00265E1E" w:rsidRPr="00F32ABA" w:rsidRDefault="00265E1E" w:rsidP="00265E1E">
      <w:pPr>
        <w:widowControl w:val="0"/>
        <w:numPr>
          <w:ilvl w:val="0"/>
          <w:numId w:val="2"/>
        </w:numPr>
        <w:suppressAutoHyphens/>
        <w:autoSpaceDE w:val="0"/>
        <w:autoSpaceDN w:val="0"/>
        <w:adjustRightInd w:val="0"/>
        <w:spacing w:after="240" w:line="280" w:lineRule="atLeast"/>
        <w:jc w:val="both"/>
        <w:rPr>
          <w:rFonts w:eastAsia="Times New Roman" w:cs="Times New Roman"/>
          <w:sz w:val="24"/>
          <w:szCs w:val="24"/>
        </w:rPr>
      </w:pPr>
      <w:r w:rsidRPr="00F32ABA">
        <w:rPr>
          <w:rFonts w:eastAsia="Times New Roman" w:cs="Times New Roman"/>
          <w:sz w:val="24"/>
          <w:szCs w:val="24"/>
        </w:rPr>
        <w:t>Award Petitioner a disproportionate share of the parties’ estate.</w:t>
      </w:r>
    </w:p>
    <w:p w14:paraId="0A05E12A" w14:textId="4B69043C" w:rsidR="00265E1E" w:rsidRPr="00F32ABA" w:rsidRDefault="00265E1E" w:rsidP="00265E1E">
      <w:pPr>
        <w:spacing w:before="100" w:beforeAutospacing="1" w:after="100" w:afterAutospacing="1"/>
        <w:ind w:firstLine="720"/>
        <w:jc w:val="both"/>
        <w:rPr>
          <w:rFonts w:eastAsia="Times New Roman" w:cs="Times New Roman"/>
          <w:sz w:val="24"/>
          <w:szCs w:val="24"/>
        </w:rPr>
      </w:pPr>
      <w:r w:rsidRPr="00F32ABA">
        <w:rPr>
          <w:rFonts w:eastAsia="Times New Roman" w:cs="Times New Roman"/>
          <w:sz w:val="24"/>
          <w:szCs w:val="24"/>
        </w:rPr>
        <w:t>By pursuing an annulment, asking the court to find that the</w:t>
      </w:r>
      <w:r w:rsidR="00823DA6" w:rsidRPr="00F32ABA">
        <w:rPr>
          <w:rFonts w:eastAsia="Times New Roman" w:cs="Times New Roman"/>
          <w:sz w:val="24"/>
          <w:szCs w:val="24"/>
        </w:rPr>
        <w:t xml:space="preserve"> Premarital</w:t>
      </w:r>
      <w:r w:rsidRPr="00F32ABA">
        <w:rPr>
          <w:rFonts w:eastAsia="Times New Roman" w:cs="Times New Roman"/>
          <w:sz w:val="24"/>
          <w:szCs w:val="24"/>
        </w:rPr>
        <w:t xml:space="preserve"> Agreement never came into effect, and requesting a division of the property accumulated between the parties, ALLISON </w:t>
      </w:r>
      <w:r w:rsidR="00BB41B1" w:rsidRPr="00F32ABA">
        <w:rPr>
          <w:rFonts w:eastAsia="Times New Roman" w:cs="Times New Roman"/>
          <w:sz w:val="24"/>
          <w:szCs w:val="24"/>
        </w:rPr>
        <w:t>seeks</w:t>
      </w:r>
      <w:r w:rsidRPr="00F32ABA">
        <w:rPr>
          <w:rFonts w:eastAsia="Times New Roman" w:cs="Times New Roman"/>
          <w:sz w:val="24"/>
          <w:szCs w:val="24"/>
        </w:rPr>
        <w:t xml:space="preserve"> a greater distribution of property under the Texas Family Code and related Texas common law than she would receive if the </w:t>
      </w:r>
      <w:r w:rsidR="00823DA6" w:rsidRPr="00F32ABA">
        <w:rPr>
          <w:rFonts w:eastAsia="Times New Roman" w:cs="Times New Roman"/>
          <w:sz w:val="24"/>
          <w:szCs w:val="24"/>
        </w:rPr>
        <w:t xml:space="preserve">Premarital </w:t>
      </w:r>
      <w:r w:rsidRPr="00F32ABA">
        <w:rPr>
          <w:rFonts w:eastAsia="Times New Roman" w:cs="Times New Roman"/>
          <w:sz w:val="24"/>
          <w:szCs w:val="24"/>
        </w:rPr>
        <w:t>Agreement remain</w:t>
      </w:r>
      <w:r w:rsidR="00BB41B1" w:rsidRPr="00F32ABA">
        <w:rPr>
          <w:rFonts w:eastAsia="Times New Roman" w:cs="Times New Roman"/>
          <w:sz w:val="24"/>
          <w:szCs w:val="24"/>
        </w:rPr>
        <w:t>s</w:t>
      </w:r>
      <w:r w:rsidRPr="00F32ABA">
        <w:rPr>
          <w:rFonts w:eastAsia="Times New Roman" w:cs="Times New Roman"/>
          <w:sz w:val="24"/>
          <w:szCs w:val="24"/>
        </w:rPr>
        <w:t xml:space="preserve"> in place.  ALLISON s</w:t>
      </w:r>
      <w:r w:rsidR="00BB41B1" w:rsidRPr="00F32ABA">
        <w:rPr>
          <w:rFonts w:eastAsia="Times New Roman" w:cs="Times New Roman"/>
          <w:sz w:val="24"/>
          <w:szCs w:val="24"/>
        </w:rPr>
        <w:t xml:space="preserve">eeks </w:t>
      </w:r>
      <w:r w:rsidRPr="00F32ABA">
        <w:rPr>
          <w:rFonts w:eastAsia="Times New Roman" w:cs="Times New Roman"/>
          <w:sz w:val="24"/>
          <w:szCs w:val="24"/>
        </w:rPr>
        <w:t xml:space="preserve">to avoid the </w:t>
      </w:r>
      <w:r w:rsidR="00823DA6" w:rsidRPr="00F32ABA">
        <w:rPr>
          <w:rFonts w:eastAsia="Times New Roman" w:cs="Times New Roman"/>
          <w:sz w:val="24"/>
          <w:szCs w:val="24"/>
        </w:rPr>
        <w:t xml:space="preserve">Premarital </w:t>
      </w:r>
      <w:r w:rsidRPr="00F32ABA">
        <w:rPr>
          <w:rFonts w:eastAsia="Times New Roman" w:cs="Times New Roman"/>
          <w:sz w:val="24"/>
          <w:szCs w:val="24"/>
        </w:rPr>
        <w:t xml:space="preserve">Agreement in favor of whatever property division an annulment would otherwise yield.  </w:t>
      </w:r>
    </w:p>
    <w:p w14:paraId="1E9BC075" w14:textId="2FD57134" w:rsidR="00265E1E" w:rsidRPr="00F32ABA" w:rsidRDefault="00265E1E" w:rsidP="00265E1E">
      <w:pPr>
        <w:spacing w:before="100" w:beforeAutospacing="1" w:after="100" w:afterAutospacing="1"/>
        <w:ind w:firstLine="720"/>
        <w:jc w:val="both"/>
        <w:rPr>
          <w:rFonts w:eastAsia="Times New Roman" w:cs="Times New Roman"/>
          <w:sz w:val="24"/>
          <w:szCs w:val="24"/>
        </w:rPr>
      </w:pPr>
      <w:r w:rsidRPr="00F32ABA">
        <w:rPr>
          <w:rFonts w:eastAsia="Times New Roman" w:cs="Times New Roman"/>
          <w:sz w:val="24"/>
          <w:szCs w:val="24"/>
        </w:rPr>
        <w:lastRenderedPageBreak/>
        <w:t>ALLISON requests a di</w:t>
      </w:r>
      <w:bookmarkStart w:id="0" w:name="_GoBack"/>
      <w:bookmarkEnd w:id="0"/>
      <w:r w:rsidRPr="00F32ABA">
        <w:rPr>
          <w:rFonts w:eastAsia="Times New Roman" w:cs="Times New Roman"/>
          <w:sz w:val="24"/>
          <w:szCs w:val="24"/>
        </w:rPr>
        <w:t>vision of property determined by the Texas Family Code and common law</w:t>
      </w:r>
      <w:r w:rsidR="00BB41B1" w:rsidRPr="00F32ABA">
        <w:rPr>
          <w:rFonts w:eastAsia="Times New Roman" w:cs="Times New Roman"/>
          <w:sz w:val="24"/>
          <w:szCs w:val="24"/>
        </w:rPr>
        <w:t>,</w:t>
      </w:r>
      <w:r w:rsidRPr="00F32ABA">
        <w:rPr>
          <w:rFonts w:eastAsia="Times New Roman" w:cs="Times New Roman"/>
          <w:sz w:val="24"/>
          <w:szCs w:val="24"/>
        </w:rPr>
        <w:t xml:space="preserve"> instead of the Premarital Agreement.  By pleading for remedies not permitted under the terms of the </w:t>
      </w:r>
      <w:r w:rsidR="00BB41B1" w:rsidRPr="00F32ABA">
        <w:rPr>
          <w:rFonts w:eastAsia="Times New Roman" w:cs="Times New Roman"/>
          <w:sz w:val="24"/>
          <w:szCs w:val="24"/>
        </w:rPr>
        <w:t xml:space="preserve">Premarital </w:t>
      </w:r>
      <w:r w:rsidRPr="00F32ABA">
        <w:rPr>
          <w:rFonts w:eastAsia="Times New Roman" w:cs="Times New Roman"/>
          <w:sz w:val="24"/>
          <w:szCs w:val="24"/>
        </w:rPr>
        <w:t xml:space="preserve">Agreement, ALLISON </w:t>
      </w:r>
      <w:r w:rsidR="00BB41B1" w:rsidRPr="00F32ABA">
        <w:rPr>
          <w:rFonts w:eastAsia="Times New Roman" w:cs="Times New Roman"/>
          <w:sz w:val="24"/>
          <w:szCs w:val="24"/>
        </w:rPr>
        <w:t>seeks</w:t>
      </w:r>
      <w:r w:rsidRPr="00F32ABA">
        <w:rPr>
          <w:rFonts w:eastAsia="Times New Roman" w:cs="Times New Roman"/>
          <w:sz w:val="24"/>
          <w:szCs w:val="24"/>
        </w:rPr>
        <w:t xml:space="preserve"> to “obtain property, property rights or benefits contrary to, in excess of, or otherwise at variance with [the] Agreement.”</w:t>
      </w:r>
    </w:p>
    <w:p w14:paraId="583304D2" w14:textId="2A649C74" w:rsidR="00265E1E" w:rsidRPr="00F32ABA" w:rsidRDefault="00265E1E" w:rsidP="00265E1E">
      <w:pPr>
        <w:spacing w:before="100" w:beforeAutospacing="1" w:after="100" w:afterAutospacing="1"/>
        <w:ind w:firstLine="720"/>
        <w:jc w:val="both"/>
        <w:rPr>
          <w:rFonts w:eastAsia="Times New Roman" w:cs="Times New Roman"/>
          <w:sz w:val="24"/>
          <w:szCs w:val="24"/>
        </w:rPr>
      </w:pPr>
      <w:r w:rsidRPr="00F32ABA">
        <w:rPr>
          <w:rFonts w:eastAsia="Times New Roman" w:cs="Times New Roman"/>
          <w:sz w:val="24"/>
          <w:szCs w:val="24"/>
        </w:rPr>
        <w:t xml:space="preserve">ALLISON’s actions render her a “Contesting Party” as defined by Section 9.17 of the Agreement.  ALLISON </w:t>
      </w:r>
      <w:r w:rsidR="00BB41B1" w:rsidRPr="00F32ABA">
        <w:rPr>
          <w:rFonts w:eastAsia="Times New Roman" w:cs="Times New Roman"/>
          <w:sz w:val="24"/>
          <w:szCs w:val="24"/>
        </w:rPr>
        <w:t>did not have an</w:t>
      </w:r>
      <w:r w:rsidRPr="00F32ABA">
        <w:rPr>
          <w:rFonts w:eastAsia="Times New Roman" w:cs="Times New Roman"/>
          <w:sz w:val="24"/>
          <w:szCs w:val="24"/>
        </w:rPr>
        <w:t xml:space="preserve"> absolute right to the sizeable lump-sum payment afforded to her in Section 7.3 of the Agreement.  She had a </w:t>
      </w:r>
      <w:r w:rsidRPr="00F32ABA">
        <w:rPr>
          <w:rFonts w:eastAsia="Times New Roman" w:cs="Times New Roman"/>
          <w:i/>
          <w:sz w:val="24"/>
          <w:szCs w:val="24"/>
        </w:rPr>
        <w:t>conditional</w:t>
      </w:r>
      <w:r w:rsidRPr="00F32ABA">
        <w:rPr>
          <w:rFonts w:eastAsia="Times New Roman" w:cs="Times New Roman"/>
          <w:sz w:val="24"/>
          <w:szCs w:val="24"/>
        </w:rPr>
        <w:t xml:space="preserve"> right premised on her compliance with the Section 9.17 forfeiture clause.  In addition to forfeiting the lump sum payment upon dissolution, her actions as a Contesting Party render her liable to MARK for all reasonable and necessary attorney’s fees and costs incurred by MARK in defending his rights under this Agreement.  </w:t>
      </w:r>
    </w:p>
    <w:p w14:paraId="384CCE99" w14:textId="77777777" w:rsidR="00265E1E" w:rsidRPr="00F32ABA" w:rsidRDefault="00265E1E" w:rsidP="00265E1E">
      <w:pPr>
        <w:spacing w:before="100" w:beforeAutospacing="1" w:after="100" w:afterAutospacing="1"/>
        <w:jc w:val="center"/>
        <w:rPr>
          <w:rFonts w:eastAsia="Times New Roman" w:cs="Times New Roman"/>
          <w:sz w:val="24"/>
          <w:szCs w:val="24"/>
        </w:rPr>
      </w:pPr>
      <w:r w:rsidRPr="00F32ABA">
        <w:rPr>
          <w:rFonts w:eastAsia="Times New Roman" w:cs="Times New Roman"/>
          <w:b/>
          <w:sz w:val="24"/>
          <w:szCs w:val="24"/>
        </w:rPr>
        <w:t>CONCLUSION</w:t>
      </w:r>
    </w:p>
    <w:p w14:paraId="759E830B" w14:textId="53EFC97C" w:rsidR="00E417AA" w:rsidRDefault="00265E1E" w:rsidP="00265E1E">
      <w:pPr>
        <w:ind w:firstLine="720"/>
        <w:jc w:val="both"/>
        <w:rPr>
          <w:rFonts w:eastAsia="Times New Roman" w:cs="Times New Roman"/>
          <w:sz w:val="24"/>
          <w:szCs w:val="24"/>
        </w:rPr>
      </w:pPr>
      <w:r w:rsidRPr="00F32ABA">
        <w:rPr>
          <w:rFonts w:eastAsia="Times New Roman" w:cs="Times New Roman"/>
          <w:sz w:val="24"/>
          <w:szCs w:val="24"/>
        </w:rPr>
        <w:t>By filing her</w:t>
      </w:r>
      <w:r w:rsidRPr="00F32ABA">
        <w:rPr>
          <w:rFonts w:eastAsia="Times New Roman" w:cs="Times New Roman"/>
          <w:i/>
          <w:sz w:val="24"/>
          <w:szCs w:val="24"/>
        </w:rPr>
        <w:t xml:space="preserve"> Petition to Annul Marriage or, In the Alternative, First Amended Petition for Divorce</w:t>
      </w:r>
      <w:r w:rsidRPr="00F32ABA">
        <w:rPr>
          <w:rFonts w:eastAsia="Times New Roman" w:cs="Times New Roman"/>
          <w:sz w:val="24"/>
          <w:szCs w:val="24"/>
        </w:rPr>
        <w:t xml:space="preserve">, and pursuing the relief </w:t>
      </w:r>
      <w:r w:rsidR="00BB41B1" w:rsidRPr="00F32ABA">
        <w:rPr>
          <w:rFonts w:eastAsia="Times New Roman" w:cs="Times New Roman"/>
          <w:sz w:val="24"/>
          <w:szCs w:val="24"/>
        </w:rPr>
        <w:t>therein</w:t>
      </w:r>
      <w:r w:rsidRPr="00F32ABA">
        <w:rPr>
          <w:rFonts w:eastAsia="Times New Roman" w:cs="Times New Roman"/>
          <w:sz w:val="24"/>
          <w:szCs w:val="24"/>
        </w:rPr>
        <w:t xml:space="preserve"> through final trial, ALLISON is</w:t>
      </w:r>
      <w:r w:rsidR="00BB41B1" w:rsidRPr="00F32ABA">
        <w:rPr>
          <w:rFonts w:eastAsia="Times New Roman" w:cs="Times New Roman"/>
          <w:sz w:val="24"/>
          <w:szCs w:val="24"/>
        </w:rPr>
        <w:t xml:space="preserve"> rendered</w:t>
      </w:r>
      <w:r w:rsidRPr="00F32ABA">
        <w:rPr>
          <w:rFonts w:eastAsia="Times New Roman" w:cs="Times New Roman"/>
          <w:sz w:val="24"/>
          <w:szCs w:val="24"/>
        </w:rPr>
        <w:t xml:space="preserve"> a Contesting Party under the parties’ </w:t>
      </w:r>
      <w:r w:rsidR="00D655B2">
        <w:rPr>
          <w:rFonts w:eastAsia="Times New Roman" w:cs="Times New Roman"/>
          <w:sz w:val="24"/>
          <w:szCs w:val="24"/>
        </w:rPr>
        <w:t xml:space="preserve">Premarital </w:t>
      </w:r>
      <w:r w:rsidRPr="00F32ABA">
        <w:rPr>
          <w:rFonts w:eastAsia="Times New Roman" w:cs="Times New Roman"/>
          <w:sz w:val="24"/>
          <w:szCs w:val="24"/>
        </w:rPr>
        <w:t xml:space="preserve">Agreement.  She has initiated and prosecuted legal action to invalidate the </w:t>
      </w:r>
      <w:r w:rsidR="00823DA6" w:rsidRPr="00F32ABA">
        <w:rPr>
          <w:rFonts w:eastAsia="Times New Roman" w:cs="Times New Roman"/>
          <w:sz w:val="24"/>
          <w:szCs w:val="24"/>
        </w:rPr>
        <w:t xml:space="preserve">Premarital </w:t>
      </w:r>
      <w:r w:rsidRPr="00F32ABA">
        <w:rPr>
          <w:rFonts w:eastAsia="Times New Roman" w:cs="Times New Roman"/>
          <w:sz w:val="24"/>
          <w:szCs w:val="24"/>
        </w:rPr>
        <w:t xml:space="preserve">Agreement </w:t>
      </w:r>
      <w:r w:rsidRPr="00F32ABA">
        <w:rPr>
          <w:rFonts w:eastAsia="Times New Roman" w:cs="Times New Roman"/>
          <w:sz w:val="24"/>
          <w:szCs w:val="24"/>
          <w:u w:val="single"/>
        </w:rPr>
        <w:t>and</w:t>
      </w:r>
      <w:r w:rsidRPr="00F32ABA">
        <w:rPr>
          <w:rFonts w:eastAsia="Times New Roman" w:cs="Times New Roman"/>
          <w:sz w:val="24"/>
          <w:szCs w:val="24"/>
        </w:rPr>
        <w:t xml:space="preserve"> to obtain property, property rights or benefits contrary to, in excess of, or otherwise at variance with this Agreement.  The Court should find that ALLISON has triggered the penalty and forfeiture clause within Section 9.17 of the Agreement.  Further, the Court should find that ALLISON lost all entitlement to the lump sum payment under Section 7.3 of the</w:t>
      </w:r>
      <w:r w:rsidR="00823DA6" w:rsidRPr="00F32ABA">
        <w:rPr>
          <w:rFonts w:eastAsia="Times New Roman" w:cs="Times New Roman"/>
          <w:sz w:val="24"/>
          <w:szCs w:val="24"/>
        </w:rPr>
        <w:t xml:space="preserve"> Premarital</w:t>
      </w:r>
      <w:r w:rsidRPr="00F32ABA">
        <w:rPr>
          <w:rFonts w:eastAsia="Times New Roman" w:cs="Times New Roman"/>
          <w:sz w:val="24"/>
          <w:szCs w:val="24"/>
        </w:rPr>
        <w:t xml:space="preserve"> </w:t>
      </w:r>
      <w:r w:rsidR="00823DA6" w:rsidRPr="00F32ABA">
        <w:rPr>
          <w:rFonts w:eastAsia="Times New Roman" w:cs="Times New Roman"/>
          <w:sz w:val="24"/>
          <w:szCs w:val="24"/>
        </w:rPr>
        <w:t>A</w:t>
      </w:r>
      <w:r w:rsidRPr="00F32ABA">
        <w:rPr>
          <w:rFonts w:eastAsia="Times New Roman" w:cs="Times New Roman"/>
          <w:sz w:val="24"/>
          <w:szCs w:val="24"/>
        </w:rPr>
        <w:t>greement and is liable to MARK for his reasonable and necessary attorney’s fees and costs incurred to defend his rights under the Agreement.</w:t>
      </w:r>
    </w:p>
    <w:p w14:paraId="714790BA" w14:textId="77777777" w:rsidR="00F32ABA" w:rsidRDefault="00F32ABA" w:rsidP="00F32ABA">
      <w:pPr>
        <w:ind w:firstLine="720"/>
        <w:jc w:val="both"/>
        <w:rPr>
          <w:rFonts w:eastAsia="Times New Roman" w:cs="Times New Roman"/>
          <w:sz w:val="24"/>
          <w:szCs w:val="24"/>
        </w:rPr>
      </w:pPr>
    </w:p>
    <w:p w14:paraId="6781936E" w14:textId="29B07364" w:rsidR="00F32ABA" w:rsidRDefault="00F32ABA" w:rsidP="0049273A">
      <w:pPr>
        <w:spacing w:after="240"/>
        <w:ind w:firstLine="720"/>
        <w:jc w:val="both"/>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Respectfully Submitted,</w:t>
      </w:r>
    </w:p>
    <w:p w14:paraId="300A2457" w14:textId="77777777" w:rsidR="0049273A" w:rsidRDefault="0049273A" w:rsidP="0049273A">
      <w:pPr>
        <w:tabs>
          <w:tab w:val="left" w:pos="4320"/>
          <w:tab w:val="left" w:pos="5040"/>
          <w:tab w:val="left" w:pos="5760"/>
          <w:tab w:val="left" w:pos="6480"/>
          <w:tab w:val="left" w:pos="7200"/>
          <w:tab w:val="left" w:pos="7920"/>
          <w:tab w:val="left" w:pos="8640"/>
        </w:tabs>
        <w:ind w:left="4320"/>
        <w:rPr>
          <w:w w:val="105"/>
        </w:rPr>
      </w:pPr>
      <w:r w:rsidRPr="00532EE2">
        <w:rPr>
          <w:w w:val="105"/>
        </w:rPr>
        <w:t>Cindy V. Tisdale</w:t>
      </w:r>
    </w:p>
    <w:p w14:paraId="1020EE02" w14:textId="77777777" w:rsidR="0049273A" w:rsidRDefault="0049273A" w:rsidP="0049273A">
      <w:pPr>
        <w:tabs>
          <w:tab w:val="left" w:pos="4320"/>
          <w:tab w:val="left" w:pos="5040"/>
          <w:tab w:val="left" w:pos="5760"/>
          <w:tab w:val="left" w:pos="6480"/>
          <w:tab w:val="left" w:pos="7200"/>
          <w:tab w:val="left" w:pos="7920"/>
          <w:tab w:val="left" w:pos="8640"/>
        </w:tabs>
        <w:ind w:left="4320"/>
        <w:rPr>
          <w:w w:val="105"/>
        </w:rPr>
      </w:pPr>
      <w:r w:rsidRPr="00532EE2">
        <w:rPr>
          <w:w w:val="105"/>
        </w:rPr>
        <w:t>Tisdale, Indelicato &amp; Key</w:t>
      </w:r>
    </w:p>
    <w:p w14:paraId="5A577261" w14:textId="77777777" w:rsidR="0049273A" w:rsidRDefault="0049273A" w:rsidP="0049273A">
      <w:pPr>
        <w:tabs>
          <w:tab w:val="left" w:pos="4320"/>
          <w:tab w:val="left" w:pos="5040"/>
          <w:tab w:val="left" w:pos="5760"/>
          <w:tab w:val="left" w:pos="6480"/>
          <w:tab w:val="left" w:pos="7200"/>
          <w:tab w:val="left" w:pos="7920"/>
          <w:tab w:val="left" w:pos="8640"/>
        </w:tabs>
        <w:ind w:left="4320"/>
        <w:rPr>
          <w:w w:val="105"/>
        </w:rPr>
      </w:pPr>
      <w:r w:rsidRPr="00532EE2">
        <w:rPr>
          <w:w w:val="105"/>
        </w:rPr>
        <w:t>227 Oak Street, Suite 1200</w:t>
      </w:r>
    </w:p>
    <w:p w14:paraId="67CBE128" w14:textId="77777777" w:rsidR="0049273A" w:rsidRDefault="0049273A" w:rsidP="0049273A">
      <w:pPr>
        <w:tabs>
          <w:tab w:val="left" w:pos="4320"/>
          <w:tab w:val="left" w:pos="5040"/>
          <w:tab w:val="left" w:pos="5760"/>
          <w:tab w:val="left" w:pos="6480"/>
          <w:tab w:val="left" w:pos="7200"/>
          <w:tab w:val="left" w:pos="7920"/>
          <w:tab w:val="left" w:pos="8640"/>
        </w:tabs>
        <w:ind w:left="4320"/>
        <w:rPr>
          <w:w w:val="105"/>
        </w:rPr>
      </w:pPr>
      <w:r w:rsidRPr="00532EE2">
        <w:rPr>
          <w:w w:val="105"/>
        </w:rPr>
        <w:t>Denton, Texas 76201</w:t>
      </w:r>
    </w:p>
    <w:p w14:paraId="1389A748" w14:textId="77777777" w:rsidR="0049273A" w:rsidRPr="00532EE2" w:rsidRDefault="0049273A" w:rsidP="0049273A">
      <w:pPr>
        <w:autoSpaceDE w:val="0"/>
        <w:autoSpaceDN w:val="0"/>
        <w:adjustRightInd w:val="0"/>
        <w:ind w:left="3600" w:firstLine="720"/>
      </w:pPr>
      <w:r w:rsidRPr="00532EE2">
        <w:t>Tel: (xxx) xxx-xxxx</w:t>
      </w:r>
    </w:p>
    <w:p w14:paraId="22E33047" w14:textId="77777777" w:rsidR="0049273A" w:rsidRPr="00532EE2" w:rsidRDefault="0049273A" w:rsidP="0049273A">
      <w:pPr>
        <w:autoSpaceDE w:val="0"/>
        <w:autoSpaceDN w:val="0"/>
        <w:adjustRightInd w:val="0"/>
        <w:ind w:left="3600" w:firstLine="720"/>
      </w:pPr>
      <w:r w:rsidRPr="00532EE2">
        <w:t>Fax: (xxx) xxx-xxxx</w:t>
      </w:r>
    </w:p>
    <w:p w14:paraId="00BFD356" w14:textId="77777777" w:rsidR="0049273A" w:rsidRPr="00532EE2" w:rsidRDefault="0049273A" w:rsidP="0049273A">
      <w:pPr>
        <w:tabs>
          <w:tab w:val="left" w:pos="4680"/>
        </w:tabs>
        <w:autoSpaceDE w:val="0"/>
        <w:autoSpaceDN w:val="0"/>
        <w:adjustRightInd w:val="0"/>
        <w:ind w:left="3600" w:firstLine="720"/>
      </w:pPr>
      <w:r w:rsidRPr="00532EE2">
        <w:t>E-mail: C</w:t>
      </w:r>
      <w:r>
        <w:t>indy</w:t>
      </w:r>
      <w:r w:rsidRPr="00532EE2">
        <w:t>@</w:t>
      </w:r>
      <w:r>
        <w:t>TIK</w:t>
      </w:r>
      <w:r w:rsidRPr="00532EE2">
        <w:t>.com</w:t>
      </w:r>
    </w:p>
    <w:p w14:paraId="5A1B3EEA" w14:textId="77777777" w:rsidR="0049273A" w:rsidRPr="00532EE2" w:rsidRDefault="0049273A" w:rsidP="0049273A">
      <w:pPr>
        <w:autoSpaceDE w:val="0"/>
        <w:autoSpaceDN w:val="0"/>
        <w:adjustRightInd w:val="0"/>
        <w:ind w:left="3600" w:firstLine="720"/>
      </w:pPr>
    </w:p>
    <w:p w14:paraId="62498B72" w14:textId="77777777" w:rsidR="0049273A" w:rsidRPr="00532EE2" w:rsidRDefault="0049273A" w:rsidP="0049273A">
      <w:pPr>
        <w:autoSpaceDE w:val="0"/>
        <w:autoSpaceDN w:val="0"/>
        <w:adjustRightInd w:val="0"/>
        <w:ind w:left="3600" w:firstLine="720"/>
      </w:pPr>
    </w:p>
    <w:p w14:paraId="3A77840F" w14:textId="77777777" w:rsidR="0049273A" w:rsidRPr="00532EE2" w:rsidRDefault="0049273A" w:rsidP="0049273A">
      <w:pPr>
        <w:autoSpaceDE w:val="0"/>
        <w:autoSpaceDN w:val="0"/>
        <w:adjustRightInd w:val="0"/>
        <w:ind w:left="3600" w:firstLine="720"/>
      </w:pPr>
    </w:p>
    <w:p w14:paraId="1611FFA7" w14:textId="77777777" w:rsidR="0049273A" w:rsidRPr="00532EE2" w:rsidRDefault="0049273A" w:rsidP="0049273A">
      <w:pPr>
        <w:autoSpaceDE w:val="0"/>
        <w:autoSpaceDN w:val="0"/>
        <w:adjustRightInd w:val="0"/>
        <w:ind w:left="3600" w:firstLine="720"/>
        <w:rPr>
          <w:u w:val="single"/>
        </w:rPr>
      </w:pPr>
      <w:r w:rsidRPr="00532EE2">
        <w:t xml:space="preserve">By: </w:t>
      </w:r>
      <w:r w:rsidRPr="00532EE2">
        <w:rPr>
          <w:u w:val="single"/>
        </w:rPr>
        <w:t>/s/ C</w:t>
      </w:r>
      <w:r>
        <w:rPr>
          <w:u w:val="single"/>
        </w:rPr>
        <w:t>indy V. Tisdale</w:t>
      </w:r>
      <w:r>
        <w:rPr>
          <w:u w:val="single"/>
        </w:rPr>
        <w:tab/>
      </w:r>
      <w:r>
        <w:rPr>
          <w:u w:val="single"/>
        </w:rPr>
        <w:tab/>
      </w:r>
      <w:r w:rsidRPr="00532EE2">
        <w:rPr>
          <w:u w:val="single"/>
        </w:rPr>
        <w:tab/>
      </w:r>
      <w:r w:rsidRPr="00532EE2">
        <w:rPr>
          <w:u w:val="single"/>
        </w:rPr>
        <w:tab/>
      </w:r>
    </w:p>
    <w:p w14:paraId="4B897917" w14:textId="77777777" w:rsidR="0049273A" w:rsidRPr="00932C10" w:rsidRDefault="0049273A" w:rsidP="0049273A">
      <w:pPr>
        <w:tabs>
          <w:tab w:val="left" w:pos="4680"/>
        </w:tabs>
        <w:autoSpaceDE w:val="0"/>
        <w:autoSpaceDN w:val="0"/>
        <w:adjustRightInd w:val="0"/>
        <w:ind w:left="3600" w:firstLine="720"/>
      </w:pPr>
      <w:r>
        <w:tab/>
      </w:r>
      <w:r w:rsidRPr="00932C10">
        <w:t>C</w:t>
      </w:r>
      <w:r>
        <w:t>indy V. Tisdale</w:t>
      </w:r>
    </w:p>
    <w:p w14:paraId="73F755DF" w14:textId="77777777" w:rsidR="0049273A" w:rsidRPr="00532EE2" w:rsidRDefault="0049273A" w:rsidP="0049273A">
      <w:pPr>
        <w:tabs>
          <w:tab w:val="left" w:pos="4680"/>
        </w:tabs>
        <w:autoSpaceDE w:val="0"/>
        <w:autoSpaceDN w:val="0"/>
        <w:adjustRightInd w:val="0"/>
        <w:ind w:left="3600" w:firstLine="720"/>
      </w:pPr>
      <w:r w:rsidRPr="00532EE2">
        <w:tab/>
        <w:t xml:space="preserve">State Bar No. </w:t>
      </w:r>
      <w:r w:rsidRPr="00DB20C8">
        <w:t>00792700</w:t>
      </w:r>
    </w:p>
    <w:p w14:paraId="7C7519FA" w14:textId="2025C7E1" w:rsidR="0049273A" w:rsidRDefault="0049273A" w:rsidP="0049273A">
      <w:pPr>
        <w:autoSpaceDE w:val="0"/>
        <w:autoSpaceDN w:val="0"/>
        <w:adjustRightInd w:val="0"/>
        <w:ind w:left="4680"/>
      </w:pPr>
      <w:r w:rsidRPr="00532EE2">
        <w:t xml:space="preserve">Attorney for </w:t>
      </w:r>
      <w:r>
        <w:t>Respondent,</w:t>
      </w:r>
    </w:p>
    <w:p w14:paraId="6471D89B" w14:textId="7E8F924A" w:rsidR="0049273A" w:rsidRDefault="0049273A" w:rsidP="0049273A">
      <w:pPr>
        <w:autoSpaceDE w:val="0"/>
        <w:autoSpaceDN w:val="0"/>
        <w:adjustRightInd w:val="0"/>
        <w:ind w:left="4680"/>
      </w:pPr>
      <w:r w:rsidRPr="00F32ABA">
        <w:rPr>
          <w:rFonts w:eastAsia="Times New Roman" w:cs="Times New Roman"/>
          <w:sz w:val="24"/>
          <w:szCs w:val="24"/>
        </w:rPr>
        <w:t>MARK PINKUS</w:t>
      </w:r>
    </w:p>
    <w:p w14:paraId="2F6A1FFA" w14:textId="458993BF" w:rsidR="00F32ABA" w:rsidRDefault="00F32ABA" w:rsidP="0049273A">
      <w:pPr>
        <w:autoSpaceDE w:val="0"/>
        <w:autoSpaceDN w:val="0"/>
        <w:adjustRightInd w:val="0"/>
        <w:ind w:left="3600" w:firstLine="720"/>
        <w:jc w:val="both"/>
        <w:rPr>
          <w:rFonts w:cs="Times New Roman"/>
          <w:sz w:val="24"/>
          <w:szCs w:val="24"/>
        </w:rPr>
      </w:pPr>
    </w:p>
    <w:p w14:paraId="2C9119EE" w14:textId="77777777" w:rsidR="0049273A" w:rsidRDefault="0049273A">
      <w:pPr>
        <w:spacing w:after="160" w:line="259" w:lineRule="auto"/>
        <w:rPr>
          <w:b/>
        </w:rPr>
      </w:pPr>
      <w:r>
        <w:rPr>
          <w:b/>
        </w:rPr>
        <w:br w:type="page"/>
      </w:r>
    </w:p>
    <w:p w14:paraId="768E5AEC" w14:textId="47A8AA11" w:rsidR="0049273A" w:rsidRPr="00932C10" w:rsidRDefault="0049273A" w:rsidP="0049273A">
      <w:pPr>
        <w:autoSpaceDE w:val="0"/>
        <w:autoSpaceDN w:val="0"/>
        <w:adjustRightInd w:val="0"/>
        <w:spacing w:line="480" w:lineRule="auto"/>
        <w:jc w:val="center"/>
      </w:pPr>
      <w:r w:rsidRPr="00932C10">
        <w:rPr>
          <w:b/>
        </w:rPr>
        <w:lastRenderedPageBreak/>
        <w:t>Certificate of Service</w:t>
      </w:r>
    </w:p>
    <w:p w14:paraId="4E4312DC" w14:textId="450E3E58" w:rsidR="0049273A" w:rsidRDefault="0049273A" w:rsidP="0049273A">
      <w:pPr>
        <w:autoSpaceDE w:val="0"/>
        <w:autoSpaceDN w:val="0"/>
        <w:adjustRightInd w:val="0"/>
        <w:spacing w:after="240"/>
        <w:ind w:firstLine="720"/>
        <w:jc w:val="both"/>
      </w:pPr>
      <w:r w:rsidRPr="00932C10">
        <w:t xml:space="preserve">I certify that a true copy of the above was served on </w:t>
      </w:r>
      <w:r>
        <w:rPr>
          <w:w w:val="105"/>
        </w:rPr>
        <w:t xml:space="preserve">Christopher K. </w:t>
      </w:r>
      <w:r>
        <w:rPr>
          <w:w w:val="105"/>
        </w:rPr>
        <w:t>W</w:t>
      </w:r>
      <w:r>
        <w:rPr>
          <w:w w:val="105"/>
        </w:rPr>
        <w:t>rampelmeier</w:t>
      </w:r>
      <w:r>
        <w:t xml:space="preserve"> through the electronic filing manager</w:t>
      </w:r>
      <w:r w:rsidRPr="00932C10">
        <w:t xml:space="preserve"> in accordance with the Texas Rules of Civil Procedure on </w:t>
      </w:r>
      <w:r>
        <w:rPr>
          <w:lang w:val="en"/>
        </w:rPr>
        <w:t>February 22</w:t>
      </w:r>
      <w:r>
        <w:rPr>
          <w:lang w:val="en"/>
        </w:rPr>
        <w:t>, 2019</w:t>
      </w:r>
      <w:r w:rsidRPr="00932C10">
        <w:t>.</w:t>
      </w:r>
    </w:p>
    <w:p w14:paraId="04257516" w14:textId="77777777" w:rsidR="0049273A" w:rsidRDefault="0049273A" w:rsidP="0049273A">
      <w:pPr>
        <w:tabs>
          <w:tab w:val="left" w:pos="4320"/>
          <w:tab w:val="right" w:pos="9360"/>
        </w:tabs>
        <w:autoSpaceDE w:val="0"/>
        <w:autoSpaceDN w:val="0"/>
        <w:adjustRightInd w:val="0"/>
        <w:ind w:left="4320"/>
        <w:rPr>
          <w:u w:val="single"/>
        </w:rPr>
      </w:pPr>
    </w:p>
    <w:p w14:paraId="7E3756F6" w14:textId="2873F908" w:rsidR="0049273A" w:rsidRPr="00932C10" w:rsidRDefault="0049273A" w:rsidP="0049273A">
      <w:pPr>
        <w:tabs>
          <w:tab w:val="left" w:pos="4320"/>
          <w:tab w:val="right" w:pos="9360"/>
        </w:tabs>
        <w:autoSpaceDE w:val="0"/>
        <w:autoSpaceDN w:val="0"/>
        <w:adjustRightInd w:val="0"/>
        <w:ind w:left="4320"/>
        <w:rPr>
          <w:u w:val="single"/>
        </w:rPr>
      </w:pPr>
      <w:r>
        <w:rPr>
          <w:u w:val="single"/>
        </w:rPr>
        <w:t>/s/Cindy V. Tisdale</w:t>
      </w:r>
      <w:r w:rsidRPr="00932C10">
        <w:rPr>
          <w:u w:val="single"/>
        </w:rPr>
        <w:tab/>
      </w:r>
    </w:p>
    <w:p w14:paraId="2C1021CA" w14:textId="77777777" w:rsidR="0049273A" w:rsidRPr="00932C10" w:rsidRDefault="0049273A" w:rsidP="0049273A">
      <w:pPr>
        <w:tabs>
          <w:tab w:val="left" w:pos="4320"/>
        </w:tabs>
        <w:autoSpaceDE w:val="0"/>
        <w:autoSpaceDN w:val="0"/>
        <w:adjustRightInd w:val="0"/>
        <w:ind w:left="4320"/>
      </w:pPr>
      <w:r w:rsidRPr="00932C10">
        <w:t>C</w:t>
      </w:r>
      <w:r>
        <w:t>indy V. Tisdale</w:t>
      </w:r>
    </w:p>
    <w:p w14:paraId="01ED1721" w14:textId="021E62A7" w:rsidR="0049273A" w:rsidRDefault="0049273A" w:rsidP="0049273A">
      <w:pPr>
        <w:tabs>
          <w:tab w:val="left" w:pos="4320"/>
        </w:tabs>
        <w:autoSpaceDE w:val="0"/>
        <w:autoSpaceDN w:val="0"/>
        <w:adjustRightInd w:val="0"/>
        <w:ind w:left="4320"/>
      </w:pPr>
      <w:r w:rsidRPr="00932C10">
        <w:t xml:space="preserve">Attorney for </w:t>
      </w:r>
      <w:r>
        <w:t>Respondent</w:t>
      </w:r>
    </w:p>
    <w:p w14:paraId="49F5D237" w14:textId="7F9D112B" w:rsidR="0049273A" w:rsidRPr="00F32ABA" w:rsidRDefault="0049273A" w:rsidP="0049273A">
      <w:pPr>
        <w:autoSpaceDE w:val="0"/>
        <w:autoSpaceDN w:val="0"/>
        <w:adjustRightInd w:val="0"/>
        <w:ind w:left="3600" w:firstLine="720"/>
        <w:jc w:val="both"/>
        <w:rPr>
          <w:rFonts w:cs="Times New Roman"/>
          <w:sz w:val="24"/>
          <w:szCs w:val="24"/>
        </w:rPr>
      </w:pPr>
      <w:r>
        <w:br w:type="page"/>
      </w:r>
    </w:p>
    <w:sectPr w:rsidR="0049273A" w:rsidRPr="00F32AB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FD50F" w14:textId="77777777" w:rsidR="00135844" w:rsidRDefault="00135844" w:rsidP="00265E1E">
      <w:r>
        <w:separator/>
      </w:r>
    </w:p>
  </w:endnote>
  <w:endnote w:type="continuationSeparator" w:id="0">
    <w:p w14:paraId="793CC250" w14:textId="77777777" w:rsidR="00135844" w:rsidRDefault="00135844" w:rsidP="00265E1E">
      <w:r>
        <w:continuationSeparator/>
      </w:r>
    </w:p>
  </w:endnote>
  <w:endnote w:type="continuationNotice" w:id="1">
    <w:p w14:paraId="6F65A2F4" w14:textId="77777777" w:rsidR="00135844" w:rsidRDefault="001358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6376D" w14:textId="77777777" w:rsidR="00265E1E" w:rsidRPr="00265E1E" w:rsidRDefault="00265E1E">
    <w:pPr>
      <w:pStyle w:val="Footer"/>
      <w:rPr>
        <w:rFonts w:cs="Times New Roman"/>
      </w:rPr>
    </w:pPr>
    <w:r w:rsidRPr="00265E1E">
      <w:rPr>
        <w:rFonts w:cs="Times New Roman"/>
      </w:rPr>
      <w:t>Trial Brief – Penalty and Forfeiture Clause</w:t>
    </w:r>
  </w:p>
  <w:p w14:paraId="545E2713" w14:textId="4E5F3DD3" w:rsidR="00265E1E" w:rsidRPr="0049273A" w:rsidRDefault="00265E1E">
    <w:pPr>
      <w:pStyle w:val="Footer"/>
      <w:rPr>
        <w:rFonts w:cs="Times New Roman"/>
      </w:rPr>
    </w:pPr>
    <w:r w:rsidRPr="00265E1E">
      <w:rPr>
        <w:rFonts w:cs="Times New Roman"/>
      </w:rPr>
      <w:t xml:space="preserve">Page </w:t>
    </w:r>
    <w:r w:rsidRPr="00265E1E">
      <w:rPr>
        <w:rFonts w:cs="Times New Roman"/>
      </w:rPr>
      <w:fldChar w:fldCharType="begin"/>
    </w:r>
    <w:r w:rsidRPr="00265E1E">
      <w:rPr>
        <w:rFonts w:cs="Times New Roman"/>
      </w:rPr>
      <w:instrText xml:space="preserve"> PAGE   \* MERGEFORMAT </w:instrText>
    </w:r>
    <w:r w:rsidRPr="00265E1E">
      <w:rPr>
        <w:rFonts w:cs="Times New Roman"/>
      </w:rPr>
      <w:fldChar w:fldCharType="separate"/>
    </w:r>
    <w:r w:rsidR="002E11AA">
      <w:rPr>
        <w:rFonts w:cs="Times New Roman"/>
        <w:noProof/>
      </w:rPr>
      <w:t>3</w:t>
    </w:r>
    <w:r w:rsidRPr="00265E1E">
      <w:rPr>
        <w:rFonts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7A8DC" w14:textId="77777777" w:rsidR="00135844" w:rsidRDefault="00135844" w:rsidP="00265E1E">
      <w:r>
        <w:separator/>
      </w:r>
    </w:p>
  </w:footnote>
  <w:footnote w:type="continuationSeparator" w:id="0">
    <w:p w14:paraId="3CAB22EE" w14:textId="77777777" w:rsidR="00135844" w:rsidRDefault="00135844" w:rsidP="00265E1E">
      <w:r>
        <w:continuationSeparator/>
      </w:r>
    </w:p>
  </w:footnote>
  <w:footnote w:type="continuationNotice" w:id="1">
    <w:p w14:paraId="0937F118" w14:textId="77777777" w:rsidR="00135844" w:rsidRDefault="001358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860E0"/>
    <w:multiLevelType w:val="hybridMultilevel"/>
    <w:tmpl w:val="DFA2CDCA"/>
    <w:lvl w:ilvl="0" w:tplc="C64E163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8E94966"/>
    <w:multiLevelType w:val="multilevel"/>
    <w:tmpl w:val="1AE4F328"/>
    <w:lvl w:ilvl="0">
      <w:start w:val="1"/>
      <w:numFmt w:val="decimal"/>
      <w:pStyle w:val="Heading1"/>
      <w:lvlText w:val="%1."/>
      <w:lvlJc w:val="left"/>
      <w:pPr>
        <w:ind w:left="720" w:hanging="720"/>
      </w:pPr>
      <w:rPr>
        <w:rFonts w:ascii="Times New Roman Bold" w:hAnsi="Times New Roman Bold" w:hint="default"/>
        <w:b/>
        <w:i/>
        <w:vanish/>
        <w:sz w:val="24"/>
      </w:rPr>
    </w:lvl>
    <w:lvl w:ilvl="1">
      <w:start w:val="1"/>
      <w:numFmt w:val="decimal"/>
      <w:pStyle w:val="Heading2"/>
      <w:lvlText w:val="%1.%2."/>
      <w:lvlJc w:val="left"/>
      <w:pPr>
        <w:ind w:left="1440" w:hanging="720"/>
      </w:pPr>
      <w:rPr>
        <w:rFonts w:ascii="Times New Roman" w:hAnsi="Times New Roman" w:cs="Times New Roman"/>
        <w:b/>
        <w:bCs w:val="0"/>
        <w:i/>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1.%2.%3."/>
      <w:lvlJc w:val="left"/>
      <w:pPr>
        <w:ind w:left="720" w:hanging="360"/>
      </w:pPr>
      <w:rPr>
        <w:rFonts w:ascii="Times New Roman" w:hAnsi="Times New Roman" w:cs="Times New Roman"/>
        <w:i/>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54D2D49"/>
    <w:multiLevelType w:val="hybridMultilevel"/>
    <w:tmpl w:val="FE080106"/>
    <w:lvl w:ilvl="0" w:tplc="1D3E289A">
      <w:start w:val="1"/>
      <w:numFmt w:val="decimal"/>
      <w:lvlText w:val="%1."/>
      <w:lvlJc w:val="left"/>
      <w:pPr>
        <w:ind w:left="1860" w:hanging="360"/>
      </w:pPr>
      <w:rPr>
        <w:rFonts w:cs="Times New Roman" w:hint="default"/>
      </w:rPr>
    </w:lvl>
    <w:lvl w:ilvl="1" w:tplc="04090019">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3" w15:restartNumberingAfterBreak="0">
    <w:nsid w:val="6E23738D"/>
    <w:multiLevelType w:val="hybridMultilevel"/>
    <w:tmpl w:val="334A0B5E"/>
    <w:lvl w:ilvl="0" w:tplc="B644D98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1E"/>
    <w:rsid w:val="00135844"/>
    <w:rsid w:val="00265E1E"/>
    <w:rsid w:val="002E11AA"/>
    <w:rsid w:val="0042786D"/>
    <w:rsid w:val="0049273A"/>
    <w:rsid w:val="0071779B"/>
    <w:rsid w:val="00823DA6"/>
    <w:rsid w:val="0087304A"/>
    <w:rsid w:val="00973105"/>
    <w:rsid w:val="009E49A3"/>
    <w:rsid w:val="00A43CD3"/>
    <w:rsid w:val="00A670EE"/>
    <w:rsid w:val="00B900E6"/>
    <w:rsid w:val="00BB41B1"/>
    <w:rsid w:val="00C60185"/>
    <w:rsid w:val="00C751C7"/>
    <w:rsid w:val="00CE5012"/>
    <w:rsid w:val="00D655B2"/>
    <w:rsid w:val="00DB3E07"/>
    <w:rsid w:val="00E417AA"/>
    <w:rsid w:val="00F32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1E719"/>
  <w15:chartTrackingRefBased/>
  <w15:docId w15:val="{79DA5DA1-EAD5-4FC3-9F2E-57D904D0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273A"/>
    <w:pPr>
      <w:spacing w:after="0" w:line="240" w:lineRule="auto"/>
    </w:pPr>
    <w:rPr>
      <w:rFonts w:ascii="Times New Roman" w:hAnsi="Times New Roman"/>
      <w:sz w:val="26"/>
    </w:rPr>
  </w:style>
  <w:style w:type="paragraph" w:styleId="Heading1">
    <w:name w:val="heading 1"/>
    <w:basedOn w:val="Normal"/>
    <w:next w:val="Normal"/>
    <w:link w:val="Heading1Char"/>
    <w:qFormat/>
    <w:rsid w:val="00F32ABA"/>
    <w:pPr>
      <w:keepNext/>
      <w:numPr>
        <w:numId w:val="4"/>
      </w:numPr>
      <w:spacing w:before="240" w:after="60"/>
      <w:outlineLvl w:val="0"/>
    </w:pPr>
    <w:rPr>
      <w:rFonts w:ascii="Times New Roman Bold" w:eastAsia="Times New Roman" w:hAnsi="Times New Roman Bold" w:cs="Times New Roman"/>
      <w:b/>
      <w:bCs/>
      <w:vanish/>
      <w:color w:val="FF0000"/>
      <w:kern w:val="32"/>
      <w:sz w:val="24"/>
      <w:szCs w:val="32"/>
    </w:rPr>
  </w:style>
  <w:style w:type="paragraph" w:styleId="Heading2">
    <w:name w:val="heading 2"/>
    <w:basedOn w:val="Normal"/>
    <w:next w:val="Paragraph"/>
    <w:link w:val="Heading2Char"/>
    <w:qFormat/>
    <w:rsid w:val="00F32ABA"/>
    <w:pPr>
      <w:keepNext/>
      <w:numPr>
        <w:ilvl w:val="1"/>
        <w:numId w:val="4"/>
      </w:numPr>
      <w:spacing w:after="240"/>
      <w:outlineLvl w:val="1"/>
    </w:pPr>
    <w:rPr>
      <w:rFonts w:eastAsia="Times New Roman" w:cs="Times New Roman"/>
      <w:b/>
      <w:bCs/>
      <w:i/>
      <w:iCs/>
      <w:sz w:val="24"/>
      <w:szCs w:val="28"/>
    </w:rPr>
  </w:style>
  <w:style w:type="paragraph" w:styleId="Heading3">
    <w:name w:val="heading 3"/>
    <w:basedOn w:val="Normal"/>
    <w:next w:val="MacroText"/>
    <w:link w:val="Heading3Char"/>
    <w:qFormat/>
    <w:rsid w:val="00F32ABA"/>
    <w:pPr>
      <w:numPr>
        <w:ilvl w:val="2"/>
        <w:numId w:val="4"/>
      </w:numPr>
      <w:spacing w:before="240" w:after="60"/>
      <w:outlineLvl w:val="2"/>
    </w:pPr>
    <w:rPr>
      <w:rFonts w:eastAsia="Times New Roman" w:cs="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E1E"/>
    <w:pPr>
      <w:ind w:left="720"/>
      <w:contextualSpacing/>
    </w:pPr>
    <w:rPr>
      <w:rFonts w:eastAsia="Times New Roman" w:cs="Times New Roman"/>
    </w:rPr>
  </w:style>
  <w:style w:type="paragraph" w:customStyle="1" w:styleId="Para">
    <w:name w:val="Para"/>
    <w:uiPriority w:val="99"/>
    <w:rsid w:val="00265E1E"/>
    <w:pPr>
      <w:widowControl w:val="0"/>
      <w:tabs>
        <w:tab w:val="right" w:leader="underscore" w:pos="9000"/>
      </w:tabs>
      <w:suppressAutoHyphens/>
      <w:autoSpaceDE w:val="0"/>
      <w:autoSpaceDN w:val="0"/>
      <w:adjustRightInd w:val="0"/>
      <w:spacing w:after="240" w:line="280" w:lineRule="atLeast"/>
      <w:ind w:firstLine="720"/>
    </w:pPr>
    <w:rPr>
      <w:rFonts w:ascii="Times New Roman" w:eastAsia="Times New Roman" w:hAnsi="Times New Roman" w:cs="Times New Roman"/>
      <w:color w:val="000000"/>
      <w:w w:val="0"/>
      <w:sz w:val="24"/>
      <w:szCs w:val="24"/>
    </w:rPr>
  </w:style>
  <w:style w:type="paragraph" w:customStyle="1" w:styleId="Paragraph">
    <w:name w:val="Paragraph"/>
    <w:basedOn w:val="Normal"/>
    <w:link w:val="ParagraphChar"/>
    <w:qFormat/>
    <w:rsid w:val="00265E1E"/>
    <w:pPr>
      <w:tabs>
        <w:tab w:val="left" w:pos="1440"/>
      </w:tabs>
      <w:autoSpaceDE w:val="0"/>
      <w:autoSpaceDN w:val="0"/>
      <w:adjustRightInd w:val="0"/>
      <w:spacing w:after="240" w:line="280" w:lineRule="atLeast"/>
      <w:ind w:firstLine="720"/>
      <w:jc w:val="both"/>
    </w:pPr>
    <w:rPr>
      <w:rFonts w:eastAsia="Times New Roman" w:cs="Times New Roman"/>
      <w:sz w:val="24"/>
      <w:szCs w:val="24"/>
    </w:rPr>
  </w:style>
  <w:style w:type="character" w:customStyle="1" w:styleId="ParagraphChar">
    <w:name w:val="Paragraph Char"/>
    <w:basedOn w:val="DefaultParagraphFont"/>
    <w:link w:val="Paragraph"/>
    <w:locked/>
    <w:rsid w:val="00265E1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65E1E"/>
    <w:pPr>
      <w:tabs>
        <w:tab w:val="center" w:pos="4680"/>
        <w:tab w:val="right" w:pos="9360"/>
      </w:tabs>
    </w:pPr>
  </w:style>
  <w:style w:type="character" w:customStyle="1" w:styleId="HeaderChar">
    <w:name w:val="Header Char"/>
    <w:basedOn w:val="DefaultParagraphFont"/>
    <w:link w:val="Header"/>
    <w:uiPriority w:val="99"/>
    <w:rsid w:val="00265E1E"/>
  </w:style>
  <w:style w:type="paragraph" w:styleId="Footer">
    <w:name w:val="footer"/>
    <w:basedOn w:val="Normal"/>
    <w:link w:val="FooterChar"/>
    <w:uiPriority w:val="99"/>
    <w:unhideWhenUsed/>
    <w:rsid w:val="00265E1E"/>
    <w:pPr>
      <w:tabs>
        <w:tab w:val="center" w:pos="4680"/>
        <w:tab w:val="right" w:pos="9360"/>
      </w:tabs>
    </w:pPr>
  </w:style>
  <w:style w:type="character" w:customStyle="1" w:styleId="FooterChar">
    <w:name w:val="Footer Char"/>
    <w:basedOn w:val="DefaultParagraphFont"/>
    <w:link w:val="Footer"/>
    <w:uiPriority w:val="99"/>
    <w:rsid w:val="00265E1E"/>
  </w:style>
  <w:style w:type="paragraph" w:styleId="BalloonText">
    <w:name w:val="Balloon Text"/>
    <w:basedOn w:val="Normal"/>
    <w:link w:val="BalloonTextChar"/>
    <w:uiPriority w:val="99"/>
    <w:semiHidden/>
    <w:unhideWhenUsed/>
    <w:rsid w:val="009731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105"/>
    <w:rPr>
      <w:rFonts w:ascii="Segoe UI" w:hAnsi="Segoe UI" w:cs="Segoe UI"/>
      <w:sz w:val="18"/>
      <w:szCs w:val="18"/>
    </w:rPr>
  </w:style>
  <w:style w:type="character" w:styleId="Hyperlink">
    <w:name w:val="Hyperlink"/>
    <w:uiPriority w:val="2"/>
    <w:rsid w:val="00F32ABA"/>
    <w:rPr>
      <w:rFonts w:ascii="Times New Roman" w:hAnsi="Times New Roman" w:cs="Times New Roman"/>
      <w:color w:val="0563C1"/>
      <w:sz w:val="24"/>
      <w:u w:val="single"/>
    </w:rPr>
  </w:style>
  <w:style w:type="character" w:customStyle="1" w:styleId="Heading1Char">
    <w:name w:val="Heading 1 Char"/>
    <w:basedOn w:val="DefaultParagraphFont"/>
    <w:link w:val="Heading1"/>
    <w:rsid w:val="00F32ABA"/>
    <w:rPr>
      <w:rFonts w:ascii="Times New Roman Bold" w:eastAsia="Times New Roman" w:hAnsi="Times New Roman Bold" w:cs="Times New Roman"/>
      <w:b/>
      <w:bCs/>
      <w:vanish/>
      <w:color w:val="FF0000"/>
      <w:kern w:val="32"/>
      <w:sz w:val="24"/>
      <w:szCs w:val="32"/>
    </w:rPr>
  </w:style>
  <w:style w:type="character" w:customStyle="1" w:styleId="Heading2Char">
    <w:name w:val="Heading 2 Char"/>
    <w:basedOn w:val="DefaultParagraphFont"/>
    <w:link w:val="Heading2"/>
    <w:rsid w:val="00F32ABA"/>
    <w:rPr>
      <w:rFonts w:ascii="Times New Roman" w:eastAsia="Times New Roman" w:hAnsi="Times New Roman" w:cs="Times New Roman"/>
      <w:b/>
      <w:bCs/>
      <w:i/>
      <w:iCs/>
      <w:sz w:val="24"/>
      <w:szCs w:val="28"/>
    </w:rPr>
  </w:style>
  <w:style w:type="character" w:customStyle="1" w:styleId="Heading3Char">
    <w:name w:val="Heading 3 Char"/>
    <w:basedOn w:val="DefaultParagraphFont"/>
    <w:link w:val="Heading3"/>
    <w:rsid w:val="00F32ABA"/>
    <w:rPr>
      <w:rFonts w:ascii="Times New Roman" w:eastAsia="Times New Roman" w:hAnsi="Times New Roman" w:cs="Times New Roman"/>
      <w:b/>
      <w:bCs/>
      <w:sz w:val="24"/>
      <w:szCs w:val="26"/>
    </w:rPr>
  </w:style>
  <w:style w:type="paragraph" w:styleId="MacroText">
    <w:name w:val="macro"/>
    <w:link w:val="MacroTextChar"/>
    <w:uiPriority w:val="99"/>
    <w:semiHidden/>
    <w:unhideWhenUsed/>
    <w:rsid w:val="00F32AB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F32ABA"/>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7</Pages>
  <Words>1873</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McLerran</dc:creator>
  <cp:keywords/>
  <dc:description/>
  <cp:lastModifiedBy>Chris Wrampelmeier</cp:lastModifiedBy>
  <cp:revision>7</cp:revision>
  <dcterms:created xsi:type="dcterms:W3CDTF">2019-02-14T15:31:00Z</dcterms:created>
  <dcterms:modified xsi:type="dcterms:W3CDTF">2019-02-19T03:48:00Z</dcterms:modified>
</cp:coreProperties>
</file>