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2A1AA" w14:textId="77777777" w:rsidR="0049273A" w:rsidRPr="00D04769" w:rsidRDefault="0049273A" w:rsidP="0049273A">
      <w:pPr>
        <w:autoSpaceDE w:val="0"/>
        <w:autoSpaceDN w:val="0"/>
        <w:adjustRightInd w:val="0"/>
        <w:rPr>
          <w:rFonts w:cs="Times New Roman"/>
          <w:b/>
          <w:szCs w:val="24"/>
        </w:rPr>
      </w:pPr>
      <w:r w:rsidRPr="00D04769">
        <w:rPr>
          <w:rFonts w:cs="Times New Roman"/>
          <w:b/>
          <w:szCs w:val="24"/>
        </w:rPr>
        <w:t>NOTICE:  THIS DOCUMENT CONTAINS SENSITIVE DATA</w:t>
      </w:r>
    </w:p>
    <w:p w14:paraId="1AE0C762" w14:textId="77777777" w:rsidR="0049273A" w:rsidRPr="00D04769" w:rsidRDefault="0049273A" w:rsidP="0049273A">
      <w:pPr>
        <w:autoSpaceDE w:val="0"/>
        <w:autoSpaceDN w:val="0"/>
        <w:adjustRightInd w:val="0"/>
        <w:rPr>
          <w:rFonts w:cs="Times New Roman"/>
          <w:b/>
          <w:szCs w:val="24"/>
        </w:rPr>
      </w:pPr>
    </w:p>
    <w:p w14:paraId="3C4DBF29" w14:textId="77777777" w:rsidR="0049273A" w:rsidRPr="00D04769" w:rsidRDefault="0049273A" w:rsidP="0049273A">
      <w:pPr>
        <w:autoSpaceDE w:val="0"/>
        <w:autoSpaceDN w:val="0"/>
        <w:adjustRightInd w:val="0"/>
        <w:jc w:val="center"/>
        <w:rPr>
          <w:rFonts w:cs="Times New Roman"/>
          <w:b/>
          <w:szCs w:val="24"/>
        </w:rPr>
      </w:pPr>
      <w:r w:rsidRPr="00D04769">
        <w:rPr>
          <w:rFonts w:cs="Times New Roman"/>
          <w:b/>
          <w:szCs w:val="24"/>
        </w:rPr>
        <w:t>NO. 43,647</w:t>
      </w:r>
    </w:p>
    <w:p w14:paraId="0DAB6974" w14:textId="77777777" w:rsidR="0049273A" w:rsidRPr="00D04769" w:rsidRDefault="0049273A" w:rsidP="0049273A">
      <w:pPr>
        <w:autoSpaceDE w:val="0"/>
        <w:autoSpaceDN w:val="0"/>
        <w:adjustRightInd w:val="0"/>
        <w:rPr>
          <w:rFonts w:cs="Times New Roman"/>
          <w:b/>
          <w:szCs w:val="24"/>
        </w:rPr>
      </w:pPr>
    </w:p>
    <w:tbl>
      <w:tblPr>
        <w:tblW w:w="0" w:type="auto"/>
        <w:tblInd w:w="-108" w:type="dxa"/>
        <w:tblLook w:val="04A0" w:firstRow="1" w:lastRow="0" w:firstColumn="1" w:lastColumn="0" w:noHBand="0" w:noVBand="1"/>
      </w:tblPr>
      <w:tblGrid>
        <w:gridCol w:w="4285"/>
        <w:gridCol w:w="1077"/>
        <w:gridCol w:w="3998"/>
      </w:tblGrid>
      <w:tr w:rsidR="0049273A" w:rsidRPr="00D04769" w14:paraId="1DC86431" w14:textId="77777777" w:rsidTr="00AA7E64">
        <w:tc>
          <w:tcPr>
            <w:tcW w:w="4285" w:type="dxa"/>
            <w:tcBorders>
              <w:top w:val="nil"/>
              <w:left w:val="nil"/>
              <w:bottom w:val="nil"/>
              <w:right w:val="nil"/>
            </w:tcBorders>
          </w:tcPr>
          <w:p w14:paraId="03F94DA7"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IN THE MATTER OF</w:t>
            </w:r>
          </w:p>
        </w:tc>
        <w:tc>
          <w:tcPr>
            <w:tcW w:w="1077" w:type="dxa"/>
            <w:tcBorders>
              <w:top w:val="nil"/>
              <w:left w:val="nil"/>
              <w:bottom w:val="nil"/>
              <w:right w:val="nil"/>
            </w:tcBorders>
          </w:tcPr>
          <w:p w14:paraId="0E24B03A"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30894929"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IN THE DISTRICT COURT</w:t>
            </w:r>
          </w:p>
        </w:tc>
      </w:tr>
      <w:tr w:rsidR="0049273A" w:rsidRPr="00D04769" w14:paraId="2D0650D6" w14:textId="77777777" w:rsidTr="00AA7E64">
        <w:tc>
          <w:tcPr>
            <w:tcW w:w="4285" w:type="dxa"/>
            <w:tcBorders>
              <w:top w:val="nil"/>
              <w:left w:val="nil"/>
              <w:bottom w:val="nil"/>
              <w:right w:val="nil"/>
            </w:tcBorders>
          </w:tcPr>
          <w:p w14:paraId="2BB86B6B"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THE MARRIAGE OF</w:t>
            </w:r>
          </w:p>
        </w:tc>
        <w:tc>
          <w:tcPr>
            <w:tcW w:w="1077" w:type="dxa"/>
            <w:tcBorders>
              <w:top w:val="nil"/>
              <w:left w:val="nil"/>
              <w:bottom w:val="nil"/>
              <w:right w:val="nil"/>
            </w:tcBorders>
          </w:tcPr>
          <w:p w14:paraId="5CFDA383"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0976C8E9" w14:textId="77777777" w:rsidR="0049273A" w:rsidRPr="00D04769" w:rsidRDefault="0049273A" w:rsidP="00AA7E64">
            <w:pPr>
              <w:autoSpaceDE w:val="0"/>
              <w:autoSpaceDN w:val="0"/>
              <w:adjustRightInd w:val="0"/>
              <w:rPr>
                <w:rFonts w:cs="Times New Roman"/>
                <w:b/>
                <w:szCs w:val="24"/>
              </w:rPr>
            </w:pPr>
          </w:p>
        </w:tc>
      </w:tr>
      <w:tr w:rsidR="0049273A" w:rsidRPr="00D04769" w14:paraId="57E254C6" w14:textId="77777777" w:rsidTr="00AA7E64">
        <w:tc>
          <w:tcPr>
            <w:tcW w:w="4285" w:type="dxa"/>
            <w:tcBorders>
              <w:top w:val="nil"/>
              <w:left w:val="nil"/>
              <w:bottom w:val="nil"/>
              <w:right w:val="nil"/>
            </w:tcBorders>
          </w:tcPr>
          <w:p w14:paraId="6657F270" w14:textId="77777777" w:rsidR="0049273A" w:rsidRPr="00D04769" w:rsidRDefault="0049273A" w:rsidP="00AA7E64">
            <w:pPr>
              <w:autoSpaceDE w:val="0"/>
              <w:autoSpaceDN w:val="0"/>
              <w:adjustRightInd w:val="0"/>
              <w:rPr>
                <w:rFonts w:cs="Times New Roman"/>
                <w:b/>
                <w:szCs w:val="24"/>
              </w:rPr>
            </w:pPr>
          </w:p>
        </w:tc>
        <w:tc>
          <w:tcPr>
            <w:tcW w:w="1077" w:type="dxa"/>
            <w:tcBorders>
              <w:top w:val="nil"/>
              <w:left w:val="nil"/>
              <w:bottom w:val="nil"/>
              <w:right w:val="nil"/>
            </w:tcBorders>
          </w:tcPr>
          <w:p w14:paraId="56FCA494"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35429F34" w14:textId="77777777" w:rsidR="0049273A" w:rsidRPr="00D04769" w:rsidRDefault="0049273A" w:rsidP="00AA7E64">
            <w:pPr>
              <w:autoSpaceDE w:val="0"/>
              <w:autoSpaceDN w:val="0"/>
              <w:adjustRightInd w:val="0"/>
              <w:rPr>
                <w:rFonts w:cs="Times New Roman"/>
                <w:b/>
                <w:szCs w:val="24"/>
              </w:rPr>
            </w:pPr>
          </w:p>
        </w:tc>
      </w:tr>
      <w:tr w:rsidR="0049273A" w:rsidRPr="00D04769" w14:paraId="47D26302" w14:textId="77777777" w:rsidTr="00AA7E64">
        <w:tc>
          <w:tcPr>
            <w:tcW w:w="4285" w:type="dxa"/>
            <w:tcBorders>
              <w:top w:val="nil"/>
              <w:left w:val="nil"/>
              <w:bottom w:val="nil"/>
              <w:right w:val="nil"/>
            </w:tcBorders>
          </w:tcPr>
          <w:p w14:paraId="20DB0354"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ALLISON GELBE-PINKUS</w:t>
            </w:r>
          </w:p>
        </w:tc>
        <w:tc>
          <w:tcPr>
            <w:tcW w:w="1077" w:type="dxa"/>
            <w:tcBorders>
              <w:top w:val="nil"/>
              <w:left w:val="nil"/>
              <w:bottom w:val="nil"/>
              <w:right w:val="nil"/>
            </w:tcBorders>
          </w:tcPr>
          <w:p w14:paraId="0D1B675D"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6F5916F3" w14:textId="77777777" w:rsidR="0049273A" w:rsidRPr="00D04769" w:rsidRDefault="0049273A" w:rsidP="00AA7E64">
            <w:pPr>
              <w:autoSpaceDE w:val="0"/>
              <w:autoSpaceDN w:val="0"/>
              <w:adjustRightInd w:val="0"/>
              <w:rPr>
                <w:rFonts w:cs="Times New Roman"/>
                <w:b/>
                <w:szCs w:val="24"/>
              </w:rPr>
            </w:pPr>
          </w:p>
        </w:tc>
      </w:tr>
      <w:tr w:rsidR="0049273A" w:rsidRPr="00D04769" w14:paraId="62C60E66" w14:textId="77777777" w:rsidTr="00AA7E64">
        <w:tc>
          <w:tcPr>
            <w:tcW w:w="4285" w:type="dxa"/>
            <w:tcBorders>
              <w:top w:val="nil"/>
              <w:left w:val="nil"/>
              <w:bottom w:val="nil"/>
              <w:right w:val="nil"/>
            </w:tcBorders>
          </w:tcPr>
          <w:p w14:paraId="6D2D31F2"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AND</w:t>
            </w:r>
          </w:p>
        </w:tc>
        <w:tc>
          <w:tcPr>
            <w:tcW w:w="1077" w:type="dxa"/>
            <w:tcBorders>
              <w:top w:val="nil"/>
              <w:left w:val="nil"/>
              <w:bottom w:val="nil"/>
              <w:right w:val="nil"/>
            </w:tcBorders>
          </w:tcPr>
          <w:p w14:paraId="79E1F22B"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6C145321"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510TH JUDICIAL DISTRICT</w:t>
            </w:r>
          </w:p>
        </w:tc>
      </w:tr>
      <w:tr w:rsidR="0049273A" w:rsidRPr="00D04769" w14:paraId="17A4C1C6" w14:textId="77777777" w:rsidTr="00AA7E64">
        <w:tc>
          <w:tcPr>
            <w:tcW w:w="4285" w:type="dxa"/>
            <w:tcBorders>
              <w:top w:val="nil"/>
              <w:left w:val="nil"/>
              <w:bottom w:val="nil"/>
              <w:right w:val="nil"/>
            </w:tcBorders>
          </w:tcPr>
          <w:p w14:paraId="6323512B"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MARK PINKUS</w:t>
            </w:r>
          </w:p>
        </w:tc>
        <w:tc>
          <w:tcPr>
            <w:tcW w:w="1077" w:type="dxa"/>
            <w:tcBorders>
              <w:top w:val="nil"/>
              <w:left w:val="nil"/>
              <w:bottom w:val="nil"/>
              <w:right w:val="nil"/>
            </w:tcBorders>
          </w:tcPr>
          <w:p w14:paraId="5CEDD0F6"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2A764E40" w14:textId="77777777" w:rsidR="0049273A" w:rsidRPr="00D04769" w:rsidRDefault="0049273A" w:rsidP="00AA7E64">
            <w:pPr>
              <w:autoSpaceDE w:val="0"/>
              <w:autoSpaceDN w:val="0"/>
              <w:adjustRightInd w:val="0"/>
              <w:rPr>
                <w:rFonts w:cs="Times New Roman"/>
                <w:b/>
                <w:szCs w:val="24"/>
              </w:rPr>
            </w:pPr>
          </w:p>
        </w:tc>
      </w:tr>
      <w:tr w:rsidR="0049273A" w:rsidRPr="00D04769" w14:paraId="79B95E59" w14:textId="77777777" w:rsidTr="00AA7E64">
        <w:tc>
          <w:tcPr>
            <w:tcW w:w="4285" w:type="dxa"/>
            <w:tcBorders>
              <w:top w:val="nil"/>
              <w:left w:val="nil"/>
              <w:bottom w:val="nil"/>
              <w:right w:val="nil"/>
            </w:tcBorders>
          </w:tcPr>
          <w:p w14:paraId="26AA7836" w14:textId="77777777" w:rsidR="0049273A" w:rsidRPr="00D04769" w:rsidRDefault="0049273A" w:rsidP="00AA7E64">
            <w:pPr>
              <w:autoSpaceDE w:val="0"/>
              <w:autoSpaceDN w:val="0"/>
              <w:adjustRightInd w:val="0"/>
              <w:rPr>
                <w:rFonts w:cs="Times New Roman"/>
                <w:b/>
                <w:szCs w:val="24"/>
              </w:rPr>
            </w:pPr>
          </w:p>
        </w:tc>
        <w:tc>
          <w:tcPr>
            <w:tcW w:w="1077" w:type="dxa"/>
            <w:tcBorders>
              <w:top w:val="nil"/>
              <w:left w:val="nil"/>
              <w:bottom w:val="nil"/>
              <w:right w:val="nil"/>
            </w:tcBorders>
          </w:tcPr>
          <w:p w14:paraId="74D27AB1"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49B9D8A7" w14:textId="77777777" w:rsidR="0049273A" w:rsidRPr="00D04769" w:rsidRDefault="0049273A" w:rsidP="00AA7E64">
            <w:pPr>
              <w:autoSpaceDE w:val="0"/>
              <w:autoSpaceDN w:val="0"/>
              <w:adjustRightInd w:val="0"/>
              <w:rPr>
                <w:rFonts w:cs="Times New Roman"/>
                <w:b/>
                <w:szCs w:val="24"/>
              </w:rPr>
            </w:pPr>
          </w:p>
        </w:tc>
      </w:tr>
      <w:tr w:rsidR="0049273A" w:rsidRPr="00D04769" w14:paraId="19837DC4" w14:textId="77777777" w:rsidTr="00AA7E64">
        <w:tc>
          <w:tcPr>
            <w:tcW w:w="4285" w:type="dxa"/>
            <w:tcBorders>
              <w:top w:val="nil"/>
              <w:left w:val="nil"/>
              <w:bottom w:val="nil"/>
              <w:right w:val="nil"/>
            </w:tcBorders>
          </w:tcPr>
          <w:p w14:paraId="57657ACF"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AND IN THE INTEREST OF</w:t>
            </w:r>
          </w:p>
        </w:tc>
        <w:tc>
          <w:tcPr>
            <w:tcW w:w="1077" w:type="dxa"/>
            <w:tcBorders>
              <w:top w:val="nil"/>
              <w:left w:val="nil"/>
              <w:bottom w:val="nil"/>
              <w:right w:val="nil"/>
            </w:tcBorders>
          </w:tcPr>
          <w:p w14:paraId="6B25486A"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1057F5F5" w14:textId="77777777" w:rsidR="0049273A" w:rsidRPr="00D04769" w:rsidRDefault="0049273A" w:rsidP="00AA7E64">
            <w:pPr>
              <w:autoSpaceDE w:val="0"/>
              <w:autoSpaceDN w:val="0"/>
              <w:adjustRightInd w:val="0"/>
              <w:rPr>
                <w:rFonts w:cs="Times New Roman"/>
                <w:b/>
                <w:szCs w:val="24"/>
              </w:rPr>
            </w:pPr>
          </w:p>
        </w:tc>
      </w:tr>
      <w:tr w:rsidR="0049273A" w:rsidRPr="00D04769" w14:paraId="1BAAA869" w14:textId="77777777" w:rsidTr="00AA7E64">
        <w:tc>
          <w:tcPr>
            <w:tcW w:w="4285" w:type="dxa"/>
            <w:tcBorders>
              <w:top w:val="nil"/>
              <w:left w:val="nil"/>
              <w:bottom w:val="nil"/>
              <w:right w:val="nil"/>
            </w:tcBorders>
          </w:tcPr>
          <w:p w14:paraId="647C7FCC"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TODD PINKUS, THOMAS PINKUS AND LUCY PINKUS, CHILDREN</w:t>
            </w:r>
          </w:p>
        </w:tc>
        <w:tc>
          <w:tcPr>
            <w:tcW w:w="1077" w:type="dxa"/>
            <w:tcBorders>
              <w:top w:val="nil"/>
              <w:left w:val="nil"/>
              <w:bottom w:val="nil"/>
              <w:right w:val="nil"/>
            </w:tcBorders>
          </w:tcPr>
          <w:p w14:paraId="173FACC6"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p w14:paraId="00D3DE7B" w14:textId="77777777" w:rsidR="0049273A" w:rsidRPr="00D04769" w:rsidRDefault="0049273A" w:rsidP="00AA7E64">
            <w:pPr>
              <w:autoSpaceDE w:val="0"/>
              <w:autoSpaceDN w:val="0"/>
              <w:adjustRightInd w:val="0"/>
              <w:jc w:val="center"/>
              <w:rPr>
                <w:rFonts w:cs="Times New Roman"/>
                <w:b/>
                <w:szCs w:val="24"/>
              </w:rPr>
            </w:pPr>
            <w:r w:rsidRPr="00D04769">
              <w:rPr>
                <w:rFonts w:cs="Times New Roman"/>
                <w:b/>
                <w:szCs w:val="24"/>
              </w:rPr>
              <w:t>§</w:t>
            </w:r>
          </w:p>
        </w:tc>
        <w:tc>
          <w:tcPr>
            <w:tcW w:w="3998" w:type="dxa"/>
            <w:tcBorders>
              <w:top w:val="nil"/>
              <w:left w:val="nil"/>
              <w:bottom w:val="nil"/>
              <w:right w:val="nil"/>
            </w:tcBorders>
          </w:tcPr>
          <w:p w14:paraId="5B0AD126" w14:textId="77777777" w:rsidR="0049273A" w:rsidRPr="00D04769" w:rsidRDefault="0049273A" w:rsidP="00AA7E64">
            <w:pPr>
              <w:autoSpaceDE w:val="0"/>
              <w:autoSpaceDN w:val="0"/>
              <w:adjustRightInd w:val="0"/>
              <w:rPr>
                <w:rFonts w:cs="Times New Roman"/>
                <w:b/>
                <w:szCs w:val="24"/>
              </w:rPr>
            </w:pPr>
          </w:p>
          <w:p w14:paraId="49068F0C" w14:textId="77777777" w:rsidR="0049273A" w:rsidRPr="00D04769" w:rsidRDefault="0049273A" w:rsidP="00AA7E64">
            <w:pPr>
              <w:autoSpaceDE w:val="0"/>
              <w:autoSpaceDN w:val="0"/>
              <w:adjustRightInd w:val="0"/>
              <w:rPr>
                <w:rFonts w:cs="Times New Roman"/>
                <w:b/>
                <w:szCs w:val="24"/>
              </w:rPr>
            </w:pPr>
            <w:r w:rsidRPr="00D04769">
              <w:rPr>
                <w:rFonts w:cs="Times New Roman"/>
                <w:b/>
                <w:szCs w:val="24"/>
              </w:rPr>
              <w:t>DENTON COUNTY, TEXAS</w:t>
            </w:r>
          </w:p>
        </w:tc>
      </w:tr>
    </w:tbl>
    <w:p w14:paraId="1A2E82D7" w14:textId="1A6609B2" w:rsidR="00265E1E" w:rsidRPr="00D04769" w:rsidRDefault="00265E1E" w:rsidP="00265E1E">
      <w:pPr>
        <w:spacing w:before="100" w:beforeAutospacing="1" w:after="100" w:afterAutospacing="1"/>
        <w:jc w:val="center"/>
        <w:rPr>
          <w:rFonts w:eastAsia="Times New Roman" w:cs="Times New Roman"/>
          <w:b/>
          <w:color w:val="1E1E1E"/>
          <w:szCs w:val="24"/>
          <w:u w:val="single"/>
        </w:rPr>
      </w:pPr>
      <w:r w:rsidRPr="00D04769">
        <w:rPr>
          <w:rFonts w:eastAsia="Times New Roman" w:cs="Times New Roman"/>
          <w:b/>
          <w:color w:val="1E1E1E"/>
          <w:szCs w:val="24"/>
          <w:u w:val="single"/>
        </w:rPr>
        <w:t xml:space="preserve">TRIAL BRIEF </w:t>
      </w:r>
      <w:r w:rsidR="00D04769">
        <w:rPr>
          <w:rFonts w:eastAsia="Times New Roman" w:cs="Times New Roman"/>
          <w:b/>
          <w:color w:val="1E1E1E"/>
          <w:szCs w:val="24"/>
          <w:u w:val="single"/>
        </w:rPr>
        <w:t>ON</w:t>
      </w:r>
      <w:r w:rsidRPr="00D04769">
        <w:rPr>
          <w:rFonts w:eastAsia="Times New Roman" w:cs="Times New Roman"/>
          <w:b/>
          <w:color w:val="1E1E1E"/>
          <w:szCs w:val="24"/>
          <w:u w:val="single"/>
        </w:rPr>
        <w:t xml:space="preserve"> </w:t>
      </w:r>
      <w:r w:rsidR="00400148" w:rsidRPr="00D04769">
        <w:rPr>
          <w:rFonts w:eastAsia="Times New Roman" w:cs="Times New Roman"/>
          <w:b/>
          <w:color w:val="1E1E1E"/>
          <w:szCs w:val="24"/>
          <w:u w:val="single"/>
        </w:rPr>
        <w:t>GROUNDS FOR ANNULMENT</w:t>
      </w:r>
    </w:p>
    <w:p w14:paraId="79AC7055" w14:textId="340E05C3" w:rsidR="00D04769" w:rsidRPr="00D04769" w:rsidRDefault="00D04769" w:rsidP="00D04769">
      <w:pPr>
        <w:spacing w:before="100" w:beforeAutospacing="1" w:after="100" w:afterAutospacing="1"/>
        <w:ind w:left="720" w:right="720"/>
        <w:rPr>
          <w:rFonts w:eastAsia="Times New Roman" w:cs="Times New Roman"/>
          <w:b/>
          <w:szCs w:val="24"/>
        </w:rPr>
      </w:pPr>
      <w:r>
        <w:rPr>
          <w:rFonts w:eastAsia="Times New Roman" w:cs="Times New Roman"/>
          <w:b/>
          <w:szCs w:val="24"/>
        </w:rPr>
        <w:t xml:space="preserve">The facts show Mark used fraud to induce Allison into signing the Premarital Agreement and marrying him and Allison has not voluntarily cohabited with Mark since learning of the fraud. The Court should annul the marriage and find the Premarital Agreement is unenforceable </w:t>
      </w:r>
      <w:r w:rsidR="00EA605F">
        <w:rPr>
          <w:rFonts w:eastAsia="Times New Roman" w:cs="Times New Roman"/>
          <w:b/>
          <w:szCs w:val="24"/>
        </w:rPr>
        <w:t xml:space="preserve">except </w:t>
      </w:r>
      <w:r w:rsidR="00EA605F" w:rsidRPr="00EA605F">
        <w:rPr>
          <w:rFonts w:eastAsia="Times New Roman" w:cs="Times New Roman"/>
          <w:b/>
          <w:szCs w:val="24"/>
        </w:rPr>
        <w:t>to the extent necessary to avoid an inequitable result</w:t>
      </w:r>
      <w:r w:rsidR="00EA605F">
        <w:rPr>
          <w:rFonts w:eastAsia="Times New Roman" w:cs="Times New Roman"/>
          <w:b/>
          <w:szCs w:val="24"/>
        </w:rPr>
        <w:t>.</w:t>
      </w:r>
    </w:p>
    <w:p w14:paraId="47D7D1F3" w14:textId="3E0C51D7" w:rsidR="00D04769" w:rsidRDefault="00D04769" w:rsidP="00D04769">
      <w:pPr>
        <w:spacing w:before="100" w:beforeAutospacing="1" w:after="100" w:afterAutospacing="1"/>
        <w:ind w:firstLine="720"/>
        <w:rPr>
          <w:rFonts w:eastAsia="Times New Roman" w:cs="Times New Roman"/>
          <w:szCs w:val="24"/>
        </w:rPr>
      </w:pPr>
      <w:r w:rsidRPr="00D04769">
        <w:rPr>
          <w:rFonts w:eastAsia="Times New Roman" w:cs="Times New Roman"/>
          <w:szCs w:val="24"/>
        </w:rPr>
        <w:t xml:space="preserve">Petitioner, Allison Gelbe-Pinkus, files this Trial Brief </w:t>
      </w:r>
      <w:r>
        <w:rPr>
          <w:rFonts w:eastAsia="Times New Roman" w:cs="Times New Roman"/>
          <w:szCs w:val="24"/>
        </w:rPr>
        <w:t>on</w:t>
      </w:r>
      <w:r w:rsidRPr="00D04769">
        <w:rPr>
          <w:rFonts w:eastAsia="Times New Roman" w:cs="Times New Roman"/>
          <w:szCs w:val="24"/>
        </w:rPr>
        <w:t xml:space="preserve"> Grounds for Annulment and would respectfully show the Court as follows:</w:t>
      </w:r>
    </w:p>
    <w:p w14:paraId="049F111A" w14:textId="191CB2CF" w:rsidR="00D04769" w:rsidRPr="00D04769" w:rsidRDefault="00D04769" w:rsidP="00D04769">
      <w:pPr>
        <w:spacing w:before="100" w:beforeAutospacing="1" w:after="100" w:afterAutospacing="1"/>
        <w:jc w:val="center"/>
        <w:rPr>
          <w:rFonts w:eastAsia="Times New Roman" w:cs="Times New Roman"/>
          <w:b/>
          <w:szCs w:val="24"/>
        </w:rPr>
      </w:pPr>
      <w:r>
        <w:rPr>
          <w:rFonts w:eastAsia="Times New Roman" w:cs="Times New Roman"/>
          <w:b/>
          <w:szCs w:val="24"/>
        </w:rPr>
        <w:t>Applicable Law</w:t>
      </w:r>
    </w:p>
    <w:p w14:paraId="52289DE9" w14:textId="39564DED" w:rsidR="00D04769" w:rsidRDefault="00D04769" w:rsidP="00D04769">
      <w:pPr>
        <w:widowControl w:val="0"/>
        <w:autoSpaceDE w:val="0"/>
        <w:autoSpaceDN w:val="0"/>
        <w:adjustRightInd w:val="0"/>
        <w:spacing w:after="240"/>
        <w:ind w:firstLine="720"/>
        <w:rPr>
          <w:rFonts w:cs="Times New Roman"/>
          <w:color w:val="000000"/>
          <w:szCs w:val="24"/>
        </w:rPr>
      </w:pPr>
      <w:r w:rsidRPr="00D04769">
        <w:rPr>
          <w:rFonts w:eastAsia="Times New Roman" w:cs="Times New Roman"/>
          <w:szCs w:val="24"/>
        </w:rPr>
        <w:t>1.</w:t>
      </w:r>
      <w:r w:rsidRPr="00D04769">
        <w:rPr>
          <w:rFonts w:eastAsia="Times New Roman" w:cs="Times New Roman"/>
          <w:szCs w:val="24"/>
        </w:rPr>
        <w:tab/>
      </w:r>
      <w:r w:rsidRPr="00D04769">
        <w:rPr>
          <w:rFonts w:cs="Times New Roman"/>
          <w:color w:val="000000"/>
          <w:szCs w:val="24"/>
        </w:rPr>
        <w:t xml:space="preserve">A trial court may annul a marriage if “(1) the other party used fraud, duress, or force to induce the petitioner to enter into the marriage; and (2) the petitioner has not voluntarily cohabited with the other party since learning of the fraud or since being released from the duress or force.” </w:t>
      </w:r>
      <w:hyperlink r:id="rId7" w:history="1">
        <w:r>
          <w:rPr>
            <w:rFonts w:cs="Times New Roman"/>
            <w:color w:val="000000"/>
            <w:szCs w:val="24"/>
          </w:rPr>
          <w:t>T</w:t>
        </w:r>
        <w:r w:rsidRPr="00D04769">
          <w:rPr>
            <w:rFonts w:cs="Times New Roman"/>
            <w:color w:val="000000"/>
            <w:szCs w:val="24"/>
          </w:rPr>
          <w:t>ex. Fam. Code § 6.107</w:t>
        </w:r>
      </w:hyperlink>
      <w:r w:rsidRPr="00D04769">
        <w:rPr>
          <w:rFonts w:cs="Times New Roman"/>
          <w:color w:val="000000"/>
          <w:szCs w:val="24"/>
        </w:rPr>
        <w:t>.</w:t>
      </w:r>
    </w:p>
    <w:p w14:paraId="79F12992" w14:textId="77777777"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2.</w:t>
      </w:r>
      <w:r>
        <w:rPr>
          <w:rFonts w:cs="Times New Roman"/>
          <w:color w:val="000000"/>
          <w:szCs w:val="24"/>
        </w:rPr>
        <w:tab/>
      </w:r>
      <w:r w:rsidRPr="00D04769">
        <w:rPr>
          <w:rFonts w:cs="Times New Roman"/>
          <w:color w:val="000000"/>
          <w:szCs w:val="24"/>
        </w:rPr>
        <w:t>Fraudulent inducement is established by proving that a false material misrepresentation was made that</w:t>
      </w:r>
      <w:r>
        <w:rPr>
          <w:rFonts w:cs="Times New Roman"/>
          <w:color w:val="000000"/>
          <w:szCs w:val="24"/>
        </w:rPr>
        <w:t>:</w:t>
      </w:r>
    </w:p>
    <w:p w14:paraId="5EBD6092" w14:textId="77777777"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a.</w:t>
      </w:r>
      <w:r>
        <w:rPr>
          <w:rFonts w:cs="Times New Roman"/>
          <w:color w:val="000000"/>
          <w:szCs w:val="24"/>
        </w:rPr>
        <w:tab/>
      </w:r>
      <w:r w:rsidRPr="00D04769">
        <w:rPr>
          <w:rFonts w:cs="Times New Roman"/>
          <w:color w:val="000000"/>
          <w:szCs w:val="24"/>
        </w:rPr>
        <w:t xml:space="preserve">was known to be false when it was made; </w:t>
      </w:r>
    </w:p>
    <w:p w14:paraId="1E3C8302" w14:textId="77777777"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b.</w:t>
      </w:r>
      <w:r>
        <w:rPr>
          <w:rFonts w:cs="Times New Roman"/>
          <w:color w:val="000000"/>
          <w:szCs w:val="24"/>
        </w:rPr>
        <w:tab/>
      </w:r>
      <w:r w:rsidRPr="00D04769">
        <w:rPr>
          <w:rFonts w:cs="Times New Roman"/>
          <w:color w:val="000000"/>
          <w:szCs w:val="24"/>
        </w:rPr>
        <w:t xml:space="preserve">was intended to be acted upon; </w:t>
      </w:r>
    </w:p>
    <w:p w14:paraId="43D2DAE2" w14:textId="77777777"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c.</w:t>
      </w:r>
      <w:r>
        <w:rPr>
          <w:rFonts w:cs="Times New Roman"/>
          <w:color w:val="000000"/>
          <w:szCs w:val="24"/>
        </w:rPr>
        <w:tab/>
      </w:r>
      <w:r w:rsidRPr="00D04769">
        <w:rPr>
          <w:rFonts w:cs="Times New Roman"/>
          <w:color w:val="000000"/>
          <w:szCs w:val="24"/>
        </w:rPr>
        <w:t xml:space="preserve">was relied upon; and </w:t>
      </w:r>
    </w:p>
    <w:p w14:paraId="121EDB07" w14:textId="77777777"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d.</w:t>
      </w:r>
      <w:r>
        <w:rPr>
          <w:rFonts w:cs="Times New Roman"/>
          <w:color w:val="000000"/>
          <w:szCs w:val="24"/>
        </w:rPr>
        <w:tab/>
      </w:r>
      <w:r w:rsidRPr="00D04769">
        <w:rPr>
          <w:rFonts w:cs="Times New Roman"/>
          <w:color w:val="000000"/>
          <w:szCs w:val="24"/>
        </w:rPr>
        <w:t xml:space="preserve">caused injury. </w:t>
      </w:r>
    </w:p>
    <w:p w14:paraId="0B9D0C16" w14:textId="77777777" w:rsidR="00D04769" w:rsidRDefault="00D04769" w:rsidP="00D04769">
      <w:pPr>
        <w:widowControl w:val="0"/>
        <w:autoSpaceDE w:val="0"/>
        <w:autoSpaceDN w:val="0"/>
        <w:adjustRightInd w:val="0"/>
        <w:spacing w:after="240"/>
        <w:rPr>
          <w:rFonts w:cs="Times New Roman"/>
          <w:color w:val="000000"/>
          <w:szCs w:val="24"/>
        </w:rPr>
      </w:pPr>
      <w:r w:rsidRPr="00D04769">
        <w:rPr>
          <w:rFonts w:cs="Times New Roman"/>
          <w:i/>
          <w:color w:val="000000"/>
          <w:szCs w:val="24"/>
        </w:rPr>
        <w:t>Desta v. Anyaoha</w:t>
      </w:r>
      <w:r w:rsidRPr="00D04769">
        <w:rPr>
          <w:rFonts w:cs="Times New Roman"/>
          <w:color w:val="000000"/>
          <w:szCs w:val="24"/>
        </w:rPr>
        <w:t>, 371 S.W.3d 596, 600 (Tex. App.—Dallas 2012, no pet.).</w:t>
      </w:r>
      <w:r>
        <w:rPr>
          <w:rFonts w:cs="Times New Roman"/>
          <w:color w:val="000000"/>
          <w:szCs w:val="24"/>
        </w:rPr>
        <w:t xml:space="preserve"> </w:t>
      </w:r>
    </w:p>
    <w:p w14:paraId="3EF85045" w14:textId="24B0E2F9"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3.</w:t>
      </w:r>
      <w:r>
        <w:rPr>
          <w:rFonts w:cs="Times New Roman"/>
          <w:color w:val="000000"/>
          <w:szCs w:val="24"/>
        </w:rPr>
        <w:tab/>
      </w:r>
      <w:r w:rsidRPr="00D04769">
        <w:rPr>
          <w:rFonts w:cs="Times New Roman"/>
          <w:color w:val="000000"/>
          <w:szCs w:val="24"/>
        </w:rPr>
        <w:t xml:space="preserve">An actionable representation “must be a representation of a material fact.”  </w:t>
      </w:r>
      <w:r w:rsidRPr="00D04769">
        <w:rPr>
          <w:rFonts w:cs="Times New Roman"/>
          <w:i/>
          <w:color w:val="000000"/>
          <w:szCs w:val="24"/>
        </w:rPr>
        <w:lastRenderedPageBreak/>
        <w:t>Trenholm v. Ratcliff</w:t>
      </w:r>
      <w:r w:rsidRPr="00D04769">
        <w:rPr>
          <w:rFonts w:cs="Times New Roman"/>
          <w:color w:val="000000"/>
          <w:szCs w:val="24"/>
        </w:rPr>
        <w:t xml:space="preserve">, 646 S.W.2d 927, 930-31 (Tex. 1983). “A representation is ‘material’ if it is important to the party to whom it is made in making a decision regarding the particular transaction.”  </w:t>
      </w:r>
      <w:r w:rsidRPr="00D04769">
        <w:rPr>
          <w:rFonts w:cs="Times New Roman"/>
          <w:i/>
          <w:color w:val="000000"/>
          <w:szCs w:val="24"/>
        </w:rPr>
        <w:t>Burleson State Bank v. Plunkett</w:t>
      </w:r>
      <w:r w:rsidRPr="00D04769">
        <w:rPr>
          <w:rFonts w:cs="Times New Roman"/>
          <w:color w:val="000000"/>
          <w:szCs w:val="24"/>
        </w:rPr>
        <w:t xml:space="preserve">, 27 S.W.3d 605, 613 (Tex. App.—Waco 2000, pet. denied). “Whether a statement is an actionable statement of ‘fact’ or merely one of ‘opinion’ often depends on the circumstances in which a statement is made.”  </w:t>
      </w:r>
      <w:r w:rsidRPr="00D04769">
        <w:rPr>
          <w:rFonts w:cs="Times New Roman"/>
          <w:i/>
          <w:color w:val="000000"/>
          <w:szCs w:val="24"/>
        </w:rPr>
        <w:t>Transport Ins. Co. v. Faircloth</w:t>
      </w:r>
      <w:r w:rsidRPr="00D04769">
        <w:rPr>
          <w:rFonts w:cs="Times New Roman"/>
          <w:color w:val="000000"/>
          <w:szCs w:val="24"/>
        </w:rPr>
        <w:t xml:space="preserve">, 898 S.W.2d 269, 276 (Tex. 1995). “When a speaker purports to have special knowledge of the facts, or does have superior knowledge of the facts—for example, when the facts underlying the opinion are not equally available to both parties—a party may maintain a fraud action.”  </w:t>
      </w:r>
      <w:r w:rsidRPr="00D04769">
        <w:rPr>
          <w:rFonts w:cs="Times New Roman"/>
          <w:i/>
          <w:color w:val="000000"/>
          <w:szCs w:val="24"/>
        </w:rPr>
        <w:t>Paull v. Capital Res. Mgmt., Inc.</w:t>
      </w:r>
      <w:r w:rsidRPr="00D04769">
        <w:rPr>
          <w:rFonts w:cs="Times New Roman"/>
          <w:color w:val="000000"/>
          <w:szCs w:val="24"/>
        </w:rPr>
        <w:t xml:space="preserve">, 987 S.W.2d 214, 219 (Tex. App.—Austin 1999, pet. denied);  </w:t>
      </w:r>
      <w:r w:rsidRPr="00D04769">
        <w:rPr>
          <w:rFonts w:cs="Times New Roman"/>
          <w:i/>
          <w:color w:val="000000"/>
          <w:szCs w:val="24"/>
        </w:rPr>
        <w:t>Matis v. Golden</w:t>
      </w:r>
      <w:r w:rsidRPr="00D04769">
        <w:rPr>
          <w:rFonts w:cs="Times New Roman"/>
          <w:color w:val="000000"/>
          <w:szCs w:val="24"/>
        </w:rPr>
        <w:t xml:space="preserve">, 228 S.W.3d 301, 307 (Tex. App.—Waco 2007, no pet.). “While a party’s intent is determined at the time the party made the representation, it may be inferred from the party’s subsequent acts after the representation is made.” </w:t>
      </w:r>
      <w:r w:rsidRPr="00D04769">
        <w:rPr>
          <w:rFonts w:cs="Times New Roman"/>
          <w:i/>
          <w:color w:val="000000"/>
          <w:szCs w:val="24"/>
        </w:rPr>
        <w:t>Spoljaric v. Percival Tours, Inc.</w:t>
      </w:r>
      <w:r w:rsidRPr="00D04769">
        <w:rPr>
          <w:rFonts w:cs="Times New Roman"/>
          <w:color w:val="000000"/>
          <w:szCs w:val="24"/>
        </w:rPr>
        <w:t xml:space="preserve">, 708 S.W.2d 432, 434 (Tex. 1986). “Since intent to defraud is not susceptible to direct proof, it invariably must be proven by circumstantial evidence.”  </w:t>
      </w:r>
      <w:r w:rsidRPr="00D04769">
        <w:rPr>
          <w:rFonts w:cs="Times New Roman"/>
          <w:i/>
          <w:color w:val="000000"/>
          <w:szCs w:val="24"/>
        </w:rPr>
        <w:t>Id.</w:t>
      </w:r>
      <w:r w:rsidRPr="00D04769">
        <w:rPr>
          <w:rFonts w:cs="Times New Roman"/>
          <w:color w:val="000000"/>
          <w:szCs w:val="24"/>
        </w:rPr>
        <w:t xml:space="preserve"> at 435.</w:t>
      </w:r>
    </w:p>
    <w:p w14:paraId="560660A9" w14:textId="28DA4700"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4.</w:t>
      </w:r>
      <w:r>
        <w:rPr>
          <w:rFonts w:cs="Times New Roman"/>
          <w:color w:val="000000"/>
          <w:szCs w:val="24"/>
        </w:rPr>
        <w:tab/>
      </w:r>
      <w:r w:rsidRPr="00D04769">
        <w:rPr>
          <w:rFonts w:cs="Times New Roman"/>
          <w:color w:val="000000"/>
          <w:szCs w:val="24"/>
        </w:rPr>
        <w:t>In a suit for a dissolution of a m</w:t>
      </w:r>
      <w:r>
        <w:rPr>
          <w:rFonts w:cs="Times New Roman"/>
          <w:color w:val="000000"/>
          <w:szCs w:val="24"/>
        </w:rPr>
        <w:t>ar</w:t>
      </w:r>
      <w:r w:rsidRPr="00D04769">
        <w:rPr>
          <w:rFonts w:cs="Times New Roman"/>
          <w:color w:val="000000"/>
          <w:szCs w:val="24"/>
        </w:rPr>
        <w:t xml:space="preserve">riage, the husband and the wife are competent witnesses for and against each other. Tex. Fam. Code § 6.704. If the husband or wife testifies, the court trying the case shall determine the credibility of the witness and the weight to be given to the witness’s testimony. </w:t>
      </w:r>
      <w:r w:rsidRPr="00D04769">
        <w:rPr>
          <w:rFonts w:cs="Times New Roman"/>
          <w:i/>
          <w:color w:val="000000"/>
          <w:szCs w:val="24"/>
        </w:rPr>
        <w:t>Id.</w:t>
      </w:r>
      <w:r w:rsidRPr="00D04769">
        <w:rPr>
          <w:rFonts w:cs="Times New Roman"/>
          <w:color w:val="000000"/>
          <w:szCs w:val="24"/>
        </w:rPr>
        <w:t xml:space="preserve"> In a bench trial, the trial court, as factfinder, is the sole judge of the credibility of the witnesses.</w:t>
      </w:r>
      <w:r>
        <w:rPr>
          <w:rFonts w:cs="Times New Roman"/>
          <w:color w:val="000000"/>
          <w:szCs w:val="24"/>
        </w:rPr>
        <w:t xml:space="preserve"> </w:t>
      </w:r>
      <w:r>
        <w:rPr>
          <w:rFonts w:cs="Times New Roman"/>
          <w:i/>
          <w:color w:val="000000"/>
          <w:szCs w:val="24"/>
        </w:rPr>
        <w:t xml:space="preserve">In re JaD.Y., </w:t>
      </w:r>
      <w:r w:rsidRPr="00D04769">
        <w:rPr>
          <w:rFonts w:cs="Times New Roman"/>
          <w:color w:val="000000"/>
          <w:szCs w:val="24"/>
        </w:rPr>
        <w:t>2018 WL 3424359</w:t>
      </w:r>
      <w:r>
        <w:rPr>
          <w:rFonts w:cs="Times New Roman"/>
          <w:color w:val="000000"/>
          <w:szCs w:val="24"/>
        </w:rPr>
        <w:t xml:space="preserve"> at *3 (Tex. App—Dallas 2018, no pet.) (mem. op.); </w:t>
      </w:r>
      <w:r>
        <w:rPr>
          <w:rFonts w:cs="Times New Roman"/>
          <w:i/>
          <w:color w:val="000000"/>
          <w:szCs w:val="24"/>
        </w:rPr>
        <w:t>s</w:t>
      </w:r>
      <w:r w:rsidRPr="00D04769">
        <w:rPr>
          <w:rFonts w:cs="Times New Roman"/>
          <w:i/>
          <w:color w:val="000000"/>
          <w:szCs w:val="24"/>
        </w:rPr>
        <w:t>ee</w:t>
      </w:r>
      <w:r>
        <w:rPr>
          <w:rFonts w:cs="Times New Roman"/>
          <w:i/>
          <w:color w:val="000000"/>
          <w:szCs w:val="24"/>
        </w:rPr>
        <w:t xml:space="preserve"> also</w:t>
      </w:r>
      <w:r w:rsidRPr="00D04769">
        <w:rPr>
          <w:rFonts w:cs="Times New Roman"/>
          <w:i/>
          <w:color w:val="000000"/>
          <w:szCs w:val="24"/>
        </w:rPr>
        <w:t xml:space="preserve"> Sheetz v. Slaughter,</w:t>
      </w:r>
      <w:r w:rsidRPr="00D04769">
        <w:rPr>
          <w:rFonts w:cs="Times New Roman"/>
          <w:color w:val="000000"/>
          <w:szCs w:val="24"/>
        </w:rPr>
        <w:t xml:space="preserve"> 503 S.W.3d 495, 502 (Tex. App.—Dallas 2016, no pet.).</w:t>
      </w:r>
    </w:p>
    <w:p w14:paraId="58E29C72" w14:textId="3DC67C30"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5.</w:t>
      </w:r>
      <w:r>
        <w:rPr>
          <w:rFonts w:cs="Times New Roman"/>
          <w:color w:val="000000"/>
          <w:szCs w:val="24"/>
        </w:rPr>
        <w:tab/>
      </w:r>
      <w:r w:rsidRPr="00D04769">
        <w:rPr>
          <w:rFonts w:cs="Times New Roman"/>
          <w:color w:val="000000"/>
          <w:szCs w:val="24"/>
        </w:rPr>
        <w:t xml:space="preserve">“A premarital agreement becomes effective on marriage.” </w:t>
      </w:r>
      <w:r>
        <w:rPr>
          <w:rFonts w:cs="Times New Roman"/>
          <w:color w:val="000000"/>
          <w:szCs w:val="24"/>
        </w:rPr>
        <w:t>Tex. Fam. Code</w:t>
      </w:r>
      <w:r w:rsidRPr="00D04769">
        <w:rPr>
          <w:rFonts w:cs="Times New Roman"/>
          <w:color w:val="000000"/>
          <w:szCs w:val="24"/>
        </w:rPr>
        <w:t xml:space="preserve"> § 4.004. Section 4.007 of the Texas Family Code provides that if a marriage is determined to be void, an agreement that would otherwise have been a premarital agreement is enforceable only to the extent necessary to avoid an inequitable result. </w:t>
      </w:r>
      <w:r>
        <w:rPr>
          <w:rFonts w:cs="Times New Roman"/>
          <w:color w:val="000000"/>
          <w:szCs w:val="24"/>
        </w:rPr>
        <w:t>Tex. Fam. Code</w:t>
      </w:r>
      <w:r w:rsidRPr="00D04769">
        <w:rPr>
          <w:rFonts w:cs="Times New Roman"/>
          <w:color w:val="000000"/>
          <w:szCs w:val="24"/>
        </w:rPr>
        <w:t xml:space="preserve"> § 4.007. “A suit for annulment presumes that there never was a valid marriage and that therefore it should be declared void.” </w:t>
      </w:r>
      <w:r w:rsidRPr="00D04769">
        <w:rPr>
          <w:rFonts w:cs="Times New Roman"/>
          <w:i/>
          <w:color w:val="000000"/>
          <w:szCs w:val="24"/>
          <w:lang w:val="es-ES"/>
        </w:rPr>
        <w:t>Garcia v. Garcia</w:t>
      </w:r>
      <w:r w:rsidRPr="00D04769">
        <w:rPr>
          <w:rFonts w:cs="Times New Roman"/>
          <w:color w:val="000000"/>
          <w:szCs w:val="24"/>
          <w:lang w:val="es-ES"/>
        </w:rPr>
        <w:t xml:space="preserve">, 232 S.W.2d 782, 783 (Tex. Civ. App.—San Antonio 1950, no writ). </w:t>
      </w:r>
      <w:r w:rsidRPr="00D04769">
        <w:rPr>
          <w:rFonts w:cs="Times New Roman"/>
          <w:color w:val="000000"/>
          <w:szCs w:val="24"/>
        </w:rPr>
        <w:t xml:space="preserve">“Wide latitude and discretion rests” with the trial courts in equitable claims and “that discretion should only be disturbed in the case of clear abuse.”  </w:t>
      </w:r>
      <w:r w:rsidRPr="00D04769">
        <w:rPr>
          <w:rFonts w:cs="Times New Roman"/>
          <w:i/>
          <w:color w:val="000000"/>
          <w:szCs w:val="24"/>
        </w:rPr>
        <w:t>Murff v. Murff</w:t>
      </w:r>
      <w:r w:rsidRPr="00D04769">
        <w:rPr>
          <w:rFonts w:cs="Times New Roman"/>
          <w:color w:val="000000"/>
          <w:szCs w:val="24"/>
        </w:rPr>
        <w:t>, 615 S.W.2d 696, 700 (Tex. 1981)</w:t>
      </w:r>
      <w:r>
        <w:rPr>
          <w:rFonts w:cs="Times New Roman"/>
          <w:color w:val="000000"/>
          <w:szCs w:val="24"/>
        </w:rPr>
        <w:t>.</w:t>
      </w:r>
    </w:p>
    <w:p w14:paraId="02970C1E" w14:textId="06B15E58"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6.</w:t>
      </w:r>
      <w:r>
        <w:rPr>
          <w:rFonts w:cs="Times New Roman"/>
          <w:color w:val="000000"/>
          <w:szCs w:val="24"/>
        </w:rPr>
        <w:tab/>
        <w:t>I</w:t>
      </w:r>
      <w:r w:rsidRPr="00D04769">
        <w:rPr>
          <w:rFonts w:cs="Times New Roman"/>
          <w:color w:val="000000"/>
          <w:szCs w:val="24"/>
        </w:rPr>
        <w:t xml:space="preserve">f a marriage is determined to be void, an agreement that would otherwise have been a premarital agreement is enforceable only </w:t>
      </w:r>
      <w:bookmarkStart w:id="0" w:name="_Hlk1642565"/>
      <w:r w:rsidRPr="00D04769">
        <w:rPr>
          <w:rFonts w:cs="Times New Roman"/>
          <w:color w:val="000000"/>
          <w:szCs w:val="24"/>
        </w:rPr>
        <w:t>to the extent necessary to avoid an inequitable result</w:t>
      </w:r>
      <w:bookmarkEnd w:id="0"/>
      <w:r w:rsidRPr="00D04769">
        <w:rPr>
          <w:rFonts w:cs="Times New Roman"/>
          <w:color w:val="000000"/>
          <w:szCs w:val="24"/>
        </w:rPr>
        <w:t>.</w:t>
      </w:r>
      <w:r>
        <w:rPr>
          <w:rFonts w:cs="Times New Roman"/>
          <w:color w:val="000000"/>
          <w:szCs w:val="24"/>
        </w:rPr>
        <w:t xml:space="preserve"> Tex. Fam. Code §</w:t>
      </w:r>
      <w:r w:rsidRPr="00D04769">
        <w:rPr>
          <w:rFonts w:cs="Times New Roman"/>
          <w:color w:val="000000"/>
          <w:szCs w:val="24"/>
        </w:rPr>
        <w:t xml:space="preserve"> 4.007</w:t>
      </w:r>
      <w:r>
        <w:rPr>
          <w:rFonts w:cs="Times New Roman"/>
          <w:color w:val="000000"/>
          <w:szCs w:val="24"/>
        </w:rPr>
        <w:t>.</w:t>
      </w:r>
    </w:p>
    <w:p w14:paraId="41EF31BC" w14:textId="7DC3FB18" w:rsidR="00D04769" w:rsidRPr="00D04769" w:rsidRDefault="00D04769" w:rsidP="00D04769">
      <w:pPr>
        <w:widowControl w:val="0"/>
        <w:autoSpaceDE w:val="0"/>
        <w:autoSpaceDN w:val="0"/>
        <w:adjustRightInd w:val="0"/>
        <w:spacing w:after="240"/>
        <w:jc w:val="center"/>
        <w:rPr>
          <w:rFonts w:cs="Times New Roman"/>
          <w:color w:val="000000"/>
          <w:szCs w:val="24"/>
        </w:rPr>
      </w:pPr>
      <w:r>
        <w:rPr>
          <w:rFonts w:cs="Times New Roman"/>
          <w:b/>
          <w:color w:val="000000"/>
          <w:szCs w:val="24"/>
        </w:rPr>
        <w:t>Application of the Law to the Facts</w:t>
      </w:r>
    </w:p>
    <w:p w14:paraId="1E10FC3D" w14:textId="1EC45779"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6</w:t>
      </w:r>
      <w:r w:rsidRPr="00D04769">
        <w:rPr>
          <w:rFonts w:cs="Times New Roman"/>
          <w:color w:val="000000"/>
          <w:szCs w:val="24"/>
        </w:rPr>
        <w:t>.</w:t>
      </w:r>
      <w:r w:rsidRPr="00D04769">
        <w:rPr>
          <w:rFonts w:cs="Times New Roman"/>
          <w:color w:val="000000"/>
          <w:szCs w:val="24"/>
        </w:rPr>
        <w:tab/>
      </w:r>
      <w:r>
        <w:rPr>
          <w:rFonts w:cs="Times New Roman"/>
          <w:color w:val="000000"/>
          <w:szCs w:val="24"/>
        </w:rPr>
        <w:t>O</w:t>
      </w:r>
      <w:r w:rsidRPr="00D04769">
        <w:rPr>
          <w:rFonts w:cs="Times New Roman"/>
          <w:color w:val="000000"/>
          <w:szCs w:val="24"/>
        </w:rPr>
        <w:t xml:space="preserve">n or about November 15, 2018, </w:t>
      </w:r>
      <w:r>
        <w:rPr>
          <w:rFonts w:cs="Times New Roman"/>
          <w:color w:val="000000"/>
          <w:szCs w:val="24"/>
        </w:rPr>
        <w:t>Allison</w:t>
      </w:r>
      <w:r w:rsidRPr="00D04769">
        <w:rPr>
          <w:rFonts w:cs="Times New Roman"/>
          <w:color w:val="000000"/>
          <w:szCs w:val="24"/>
        </w:rPr>
        <w:t xml:space="preserve"> learned from Ellie Natenberg, the wife of one of Mark</w:t>
      </w:r>
      <w:r>
        <w:rPr>
          <w:rFonts w:cs="Times New Roman"/>
          <w:color w:val="000000"/>
          <w:szCs w:val="24"/>
        </w:rPr>
        <w:t xml:space="preserve"> Pinkus</w:t>
      </w:r>
      <w:r w:rsidRPr="00D04769">
        <w:rPr>
          <w:rFonts w:cs="Times New Roman"/>
          <w:color w:val="000000"/>
          <w:szCs w:val="24"/>
        </w:rPr>
        <w:t xml:space="preserve">’s friends, that Mark was married to another woman before marrying </w:t>
      </w:r>
      <w:r>
        <w:rPr>
          <w:rFonts w:cs="Times New Roman"/>
          <w:color w:val="000000"/>
          <w:szCs w:val="24"/>
        </w:rPr>
        <w:t>her.</w:t>
      </w:r>
      <w:r w:rsidRPr="00D04769">
        <w:rPr>
          <w:rFonts w:cs="Times New Roman"/>
          <w:color w:val="000000"/>
          <w:szCs w:val="24"/>
        </w:rPr>
        <w:t xml:space="preserve"> Mark had lied to </w:t>
      </w:r>
      <w:r>
        <w:rPr>
          <w:rFonts w:cs="Times New Roman"/>
          <w:color w:val="000000"/>
          <w:szCs w:val="24"/>
        </w:rPr>
        <w:t>Allison</w:t>
      </w:r>
      <w:r w:rsidRPr="00D04769">
        <w:rPr>
          <w:rFonts w:cs="Times New Roman"/>
          <w:color w:val="000000"/>
          <w:szCs w:val="24"/>
        </w:rPr>
        <w:t xml:space="preserve"> about this fact</w:t>
      </w:r>
      <w:r>
        <w:rPr>
          <w:rFonts w:cs="Times New Roman"/>
          <w:color w:val="000000"/>
          <w:szCs w:val="24"/>
        </w:rPr>
        <w:t xml:space="preserve"> before Allison and Mark married when Allison specifically asked him if he had been married before</w:t>
      </w:r>
      <w:r w:rsidRPr="00D04769">
        <w:rPr>
          <w:rFonts w:cs="Times New Roman"/>
          <w:color w:val="000000"/>
          <w:szCs w:val="24"/>
        </w:rPr>
        <w:t xml:space="preserve">. </w:t>
      </w:r>
      <w:r>
        <w:rPr>
          <w:rFonts w:cs="Times New Roman"/>
          <w:color w:val="000000"/>
          <w:szCs w:val="24"/>
        </w:rPr>
        <w:t xml:space="preserve">Mark had said he had never been married. </w:t>
      </w:r>
    </w:p>
    <w:p w14:paraId="4BC56216" w14:textId="0EEA7D25"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7.</w:t>
      </w:r>
      <w:r>
        <w:rPr>
          <w:rFonts w:cs="Times New Roman"/>
          <w:color w:val="000000"/>
          <w:szCs w:val="24"/>
        </w:rPr>
        <w:tab/>
      </w:r>
      <w:r w:rsidRPr="00D04769">
        <w:rPr>
          <w:rFonts w:cs="Times New Roman"/>
          <w:color w:val="000000"/>
          <w:szCs w:val="24"/>
        </w:rPr>
        <w:t xml:space="preserve">Upon further investigation, </w:t>
      </w:r>
      <w:r>
        <w:rPr>
          <w:rFonts w:cs="Times New Roman"/>
          <w:color w:val="000000"/>
          <w:szCs w:val="24"/>
        </w:rPr>
        <w:t>Allison</w:t>
      </w:r>
      <w:r w:rsidRPr="00D04769">
        <w:rPr>
          <w:rFonts w:cs="Times New Roman"/>
          <w:color w:val="000000"/>
          <w:szCs w:val="24"/>
        </w:rPr>
        <w:t xml:space="preserve"> learned Mark had been married to Katie Custer from May 3, 2005 to August 7, 2005. </w:t>
      </w:r>
      <w:r>
        <w:rPr>
          <w:rFonts w:cs="Times New Roman"/>
          <w:color w:val="000000"/>
          <w:szCs w:val="24"/>
        </w:rPr>
        <w:t>Allison obtained a copy of the Final Decree of Divorce in Cause No. 2005-</w:t>
      </w:r>
      <w:r w:rsidRPr="00D04769">
        <w:rPr>
          <w:rFonts w:cs="Times New Roman"/>
          <w:color w:val="000000"/>
          <w:szCs w:val="24"/>
        </w:rPr>
        <w:t>67006</w:t>
      </w:r>
      <w:r>
        <w:rPr>
          <w:rFonts w:cs="Times New Roman"/>
          <w:color w:val="000000"/>
          <w:szCs w:val="24"/>
        </w:rPr>
        <w:t xml:space="preserve">; </w:t>
      </w:r>
      <w:r>
        <w:rPr>
          <w:rFonts w:cs="Times New Roman"/>
          <w:i/>
          <w:color w:val="000000"/>
          <w:szCs w:val="24"/>
        </w:rPr>
        <w:t>In the Matter of the Marriage of Mark Pinkus and Katie Custer;</w:t>
      </w:r>
      <w:r>
        <w:rPr>
          <w:rFonts w:cs="Times New Roman"/>
          <w:color w:val="000000"/>
          <w:szCs w:val="24"/>
        </w:rPr>
        <w:t xml:space="preserve"> in the 257</w:t>
      </w:r>
      <w:r w:rsidRPr="00D04769">
        <w:rPr>
          <w:rFonts w:cs="Times New Roman"/>
          <w:color w:val="000000"/>
          <w:szCs w:val="24"/>
          <w:vertAlign w:val="superscript"/>
        </w:rPr>
        <w:t>th</w:t>
      </w:r>
      <w:r>
        <w:rPr>
          <w:rFonts w:cs="Times New Roman"/>
          <w:color w:val="000000"/>
          <w:szCs w:val="24"/>
        </w:rPr>
        <w:t xml:space="preserve"> District Court in and for Harris County, Texas. On or about December 12, 2018, in response </w:t>
      </w:r>
      <w:r>
        <w:rPr>
          <w:rFonts w:cs="Times New Roman"/>
          <w:color w:val="000000"/>
          <w:szCs w:val="24"/>
        </w:rPr>
        <w:lastRenderedPageBreak/>
        <w:t>to Allison confronting him, Mark admitted to Allison for the first time that he had been married before and gotten divorced.</w:t>
      </w:r>
    </w:p>
    <w:p w14:paraId="13DAA166" w14:textId="3F1EA063" w:rsidR="00D04769" w:rsidRP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8.</w:t>
      </w:r>
      <w:r>
        <w:rPr>
          <w:rFonts w:cs="Times New Roman"/>
          <w:color w:val="000000"/>
          <w:szCs w:val="24"/>
        </w:rPr>
        <w:tab/>
        <w:t>Allison</w:t>
      </w:r>
      <w:r w:rsidRPr="00D04769">
        <w:rPr>
          <w:rFonts w:cs="Times New Roman"/>
          <w:color w:val="000000"/>
          <w:szCs w:val="24"/>
        </w:rPr>
        <w:t xml:space="preserve"> hold</w:t>
      </w:r>
      <w:r>
        <w:rPr>
          <w:rFonts w:cs="Times New Roman"/>
          <w:color w:val="000000"/>
          <w:szCs w:val="24"/>
        </w:rPr>
        <w:t>s</w:t>
      </w:r>
      <w:r w:rsidRPr="00D04769">
        <w:rPr>
          <w:rFonts w:cs="Times New Roman"/>
          <w:color w:val="000000"/>
          <w:szCs w:val="24"/>
        </w:rPr>
        <w:t xml:space="preserve"> very strong religious beliefs about marriage and divorce</w:t>
      </w:r>
      <w:r>
        <w:rPr>
          <w:rFonts w:cs="Times New Roman"/>
          <w:color w:val="000000"/>
          <w:szCs w:val="24"/>
        </w:rPr>
        <w:t xml:space="preserve">. </w:t>
      </w:r>
      <w:r w:rsidRPr="00D04769">
        <w:rPr>
          <w:rFonts w:cs="Times New Roman"/>
          <w:color w:val="000000"/>
          <w:szCs w:val="24"/>
        </w:rPr>
        <w:t xml:space="preserve">Because of </w:t>
      </w:r>
      <w:r>
        <w:rPr>
          <w:rFonts w:cs="Times New Roman"/>
          <w:color w:val="000000"/>
          <w:szCs w:val="24"/>
        </w:rPr>
        <w:t>these</w:t>
      </w:r>
      <w:r w:rsidRPr="00D04769">
        <w:rPr>
          <w:rFonts w:cs="Times New Roman"/>
          <w:color w:val="000000"/>
          <w:szCs w:val="24"/>
        </w:rPr>
        <w:t xml:space="preserve"> religious convictions, </w:t>
      </w:r>
      <w:r>
        <w:rPr>
          <w:rFonts w:cs="Times New Roman"/>
          <w:color w:val="000000"/>
          <w:szCs w:val="24"/>
        </w:rPr>
        <w:t xml:space="preserve">Allison </w:t>
      </w:r>
      <w:r w:rsidRPr="00D04769">
        <w:rPr>
          <w:rFonts w:cs="Times New Roman"/>
          <w:color w:val="000000"/>
          <w:szCs w:val="24"/>
        </w:rPr>
        <w:t xml:space="preserve">attached great importance to Mark’s representation of never having been married when </w:t>
      </w:r>
      <w:r>
        <w:rPr>
          <w:rFonts w:cs="Times New Roman"/>
          <w:color w:val="000000"/>
          <w:szCs w:val="24"/>
        </w:rPr>
        <w:t>Allison</w:t>
      </w:r>
      <w:r w:rsidRPr="00D04769">
        <w:rPr>
          <w:rFonts w:cs="Times New Roman"/>
          <w:color w:val="000000"/>
          <w:szCs w:val="24"/>
        </w:rPr>
        <w:t xml:space="preserve"> accepted his engagement proposal</w:t>
      </w:r>
      <w:r>
        <w:rPr>
          <w:rFonts w:cs="Times New Roman"/>
          <w:color w:val="000000"/>
          <w:szCs w:val="24"/>
        </w:rPr>
        <w:t xml:space="preserve">. Allison would have never married Mark if she had known Mark was still married in the eyes of God. </w:t>
      </w:r>
    </w:p>
    <w:p w14:paraId="48B89614" w14:textId="196BBA03"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9.</w:t>
      </w:r>
      <w:r>
        <w:rPr>
          <w:rFonts w:cs="Times New Roman"/>
          <w:color w:val="000000"/>
          <w:szCs w:val="24"/>
        </w:rPr>
        <w:tab/>
        <w:t>Mark knew the issue of whether Mark had been married before was critically important to Allison when the parties were engaged. Allison told him how important it was. Allison insisted that the Premarital Agreement the parties signed include a representation by Mark that Mark had never been married before.</w:t>
      </w:r>
    </w:p>
    <w:p w14:paraId="412C29FA" w14:textId="41F275AC"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10.</w:t>
      </w:r>
      <w:r>
        <w:rPr>
          <w:rFonts w:cs="Times New Roman"/>
          <w:color w:val="000000"/>
          <w:szCs w:val="24"/>
        </w:rPr>
        <w:tab/>
      </w:r>
      <w:r w:rsidRPr="00D04769">
        <w:rPr>
          <w:rFonts w:cs="Times New Roman"/>
          <w:color w:val="000000"/>
          <w:szCs w:val="24"/>
        </w:rPr>
        <w:t>Fraudulent inducement is established</w:t>
      </w:r>
      <w:r>
        <w:rPr>
          <w:rFonts w:cs="Times New Roman"/>
          <w:color w:val="000000"/>
          <w:szCs w:val="24"/>
        </w:rPr>
        <w:t xml:space="preserve"> in this case. The actionable representations were of material facts: Mark had been married and Mark had been divorced. The representations were “material” because they were</w:t>
      </w:r>
      <w:r w:rsidRPr="00D04769">
        <w:rPr>
          <w:rFonts w:cs="Times New Roman"/>
          <w:color w:val="000000"/>
          <w:szCs w:val="24"/>
        </w:rPr>
        <w:t xml:space="preserve"> important to </w:t>
      </w:r>
      <w:r>
        <w:rPr>
          <w:rFonts w:cs="Times New Roman"/>
          <w:color w:val="000000"/>
          <w:szCs w:val="24"/>
        </w:rPr>
        <w:t>Allison when she was deciding whether to sign the Premarital Agreement</w:t>
      </w:r>
      <w:r w:rsidRPr="00D04769">
        <w:rPr>
          <w:rFonts w:cs="Times New Roman"/>
          <w:color w:val="000000"/>
          <w:szCs w:val="24"/>
        </w:rPr>
        <w:t xml:space="preserve"> </w:t>
      </w:r>
      <w:r>
        <w:rPr>
          <w:rFonts w:cs="Times New Roman"/>
          <w:color w:val="000000"/>
          <w:szCs w:val="24"/>
        </w:rPr>
        <w:t>and whether to marry Mark. Mark had special and superior knowledge of these facts. The preponderance of the evidence therefore shows:</w:t>
      </w:r>
    </w:p>
    <w:p w14:paraId="518CEAC3" w14:textId="5231CF31"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a.</w:t>
      </w:r>
      <w:r>
        <w:rPr>
          <w:rFonts w:cs="Times New Roman"/>
          <w:color w:val="000000"/>
          <w:szCs w:val="24"/>
        </w:rPr>
        <w:tab/>
        <w:t xml:space="preserve">Mark knew his denials about his previous marriage and divorce </w:t>
      </w:r>
      <w:r w:rsidRPr="00D04769">
        <w:rPr>
          <w:rFonts w:cs="Times New Roman"/>
          <w:color w:val="000000"/>
          <w:szCs w:val="24"/>
        </w:rPr>
        <w:t>w</w:t>
      </w:r>
      <w:r>
        <w:rPr>
          <w:rFonts w:cs="Times New Roman"/>
          <w:color w:val="000000"/>
          <w:szCs w:val="24"/>
        </w:rPr>
        <w:t>ere</w:t>
      </w:r>
      <w:r w:rsidRPr="00D04769">
        <w:rPr>
          <w:rFonts w:cs="Times New Roman"/>
          <w:color w:val="000000"/>
          <w:szCs w:val="24"/>
        </w:rPr>
        <w:t xml:space="preserve"> false when </w:t>
      </w:r>
      <w:r>
        <w:rPr>
          <w:rFonts w:cs="Times New Roman"/>
          <w:color w:val="000000"/>
          <w:szCs w:val="24"/>
        </w:rPr>
        <w:t>he</w:t>
      </w:r>
      <w:r w:rsidRPr="00D04769">
        <w:rPr>
          <w:rFonts w:cs="Times New Roman"/>
          <w:color w:val="000000"/>
          <w:szCs w:val="24"/>
        </w:rPr>
        <w:t xml:space="preserve"> made</w:t>
      </w:r>
      <w:r>
        <w:rPr>
          <w:rFonts w:cs="Times New Roman"/>
          <w:color w:val="000000"/>
          <w:szCs w:val="24"/>
        </w:rPr>
        <w:t xml:space="preserve"> them;</w:t>
      </w:r>
    </w:p>
    <w:p w14:paraId="26172444" w14:textId="5BE65B46"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b.</w:t>
      </w:r>
      <w:r>
        <w:rPr>
          <w:rFonts w:cs="Times New Roman"/>
          <w:color w:val="000000"/>
          <w:szCs w:val="24"/>
        </w:rPr>
        <w:tab/>
        <w:t xml:space="preserve">Mark </w:t>
      </w:r>
      <w:r w:rsidRPr="00D04769">
        <w:rPr>
          <w:rFonts w:cs="Times New Roman"/>
          <w:color w:val="000000"/>
          <w:szCs w:val="24"/>
        </w:rPr>
        <w:t xml:space="preserve">intended </w:t>
      </w:r>
      <w:r>
        <w:rPr>
          <w:rFonts w:cs="Times New Roman"/>
          <w:color w:val="000000"/>
          <w:szCs w:val="24"/>
        </w:rPr>
        <w:t>for Allison to act on those false statements by signing a Premarital Agreement and marrying him</w:t>
      </w:r>
      <w:r w:rsidRPr="00D04769">
        <w:rPr>
          <w:rFonts w:cs="Times New Roman"/>
          <w:color w:val="000000"/>
          <w:szCs w:val="24"/>
        </w:rPr>
        <w:t xml:space="preserve">; </w:t>
      </w:r>
    </w:p>
    <w:p w14:paraId="2CC7FECA" w14:textId="0961D3EF"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c.</w:t>
      </w:r>
      <w:r>
        <w:rPr>
          <w:rFonts w:cs="Times New Roman"/>
          <w:color w:val="000000"/>
          <w:szCs w:val="24"/>
        </w:rPr>
        <w:tab/>
        <w:t xml:space="preserve">Allison </w:t>
      </w:r>
      <w:r w:rsidRPr="00D04769">
        <w:rPr>
          <w:rFonts w:cs="Times New Roman"/>
          <w:color w:val="000000"/>
          <w:szCs w:val="24"/>
        </w:rPr>
        <w:t>relied upon</w:t>
      </w:r>
      <w:r>
        <w:rPr>
          <w:rFonts w:cs="Times New Roman"/>
          <w:color w:val="000000"/>
          <w:szCs w:val="24"/>
        </w:rPr>
        <w:t xml:space="preserve"> those false statements when she signed the Premarital Agreement and married Mark</w:t>
      </w:r>
      <w:r w:rsidRPr="00D04769">
        <w:rPr>
          <w:rFonts w:cs="Times New Roman"/>
          <w:color w:val="000000"/>
          <w:szCs w:val="24"/>
        </w:rPr>
        <w:t>; and</w:t>
      </w:r>
    </w:p>
    <w:p w14:paraId="0207390B" w14:textId="376A218B" w:rsidR="00D04769" w:rsidRDefault="00D04769" w:rsidP="00D04769">
      <w:pPr>
        <w:widowControl w:val="0"/>
        <w:autoSpaceDE w:val="0"/>
        <w:autoSpaceDN w:val="0"/>
        <w:adjustRightInd w:val="0"/>
        <w:spacing w:after="240"/>
        <w:ind w:left="2160" w:hanging="720"/>
        <w:rPr>
          <w:rFonts w:cs="Times New Roman"/>
          <w:color w:val="000000"/>
          <w:szCs w:val="24"/>
        </w:rPr>
      </w:pPr>
      <w:r>
        <w:rPr>
          <w:rFonts w:cs="Times New Roman"/>
          <w:color w:val="000000"/>
          <w:szCs w:val="24"/>
        </w:rPr>
        <w:t>d.</w:t>
      </w:r>
      <w:r>
        <w:rPr>
          <w:rFonts w:cs="Times New Roman"/>
          <w:color w:val="000000"/>
          <w:szCs w:val="24"/>
        </w:rPr>
        <w:tab/>
        <w:t xml:space="preserve">Mark’s false statements injured Allison by inducing her to sign a premarital agreement under false pretenses and in violation of her devout religious beliefs, causing her to marry a man who, in God’s eyes, is an adulterer. </w:t>
      </w:r>
    </w:p>
    <w:p w14:paraId="7D959142" w14:textId="3A85259C"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11.</w:t>
      </w:r>
      <w:r>
        <w:rPr>
          <w:rFonts w:cs="Times New Roman"/>
          <w:color w:val="000000"/>
          <w:szCs w:val="24"/>
        </w:rPr>
        <w:tab/>
        <w:t>Only an annulment can keep Allison from becoming an adulterer too, if she ever wishes to marry again.</w:t>
      </w:r>
    </w:p>
    <w:p w14:paraId="3358F579" w14:textId="319E13D1" w:rsid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12.</w:t>
      </w:r>
      <w:r>
        <w:rPr>
          <w:rFonts w:cs="Times New Roman"/>
          <w:color w:val="000000"/>
          <w:szCs w:val="24"/>
        </w:rPr>
        <w:tab/>
        <w:t xml:space="preserve">Allison has not voluntarily Allison </w:t>
      </w:r>
      <w:r w:rsidRPr="00D04769">
        <w:rPr>
          <w:rFonts w:cs="Times New Roman"/>
          <w:color w:val="000000"/>
          <w:szCs w:val="24"/>
        </w:rPr>
        <w:t xml:space="preserve">cohabited with </w:t>
      </w:r>
      <w:r>
        <w:rPr>
          <w:rFonts w:cs="Times New Roman"/>
          <w:color w:val="000000"/>
          <w:szCs w:val="24"/>
        </w:rPr>
        <w:t>Mark</w:t>
      </w:r>
      <w:r w:rsidRPr="00D04769">
        <w:rPr>
          <w:rFonts w:cs="Times New Roman"/>
          <w:color w:val="000000"/>
          <w:szCs w:val="24"/>
        </w:rPr>
        <w:t xml:space="preserve"> since learning of the fraud</w:t>
      </w:r>
      <w:r>
        <w:rPr>
          <w:rFonts w:cs="Times New Roman"/>
          <w:color w:val="000000"/>
          <w:szCs w:val="24"/>
        </w:rPr>
        <w:t>. Mark and Allison have not lived together since June 1, 2018.</w:t>
      </w:r>
    </w:p>
    <w:p w14:paraId="4313CE7B" w14:textId="5E77B245" w:rsidR="00D04769" w:rsidRPr="00D04769" w:rsidRDefault="00D04769" w:rsidP="00D04769">
      <w:pPr>
        <w:widowControl w:val="0"/>
        <w:autoSpaceDE w:val="0"/>
        <w:autoSpaceDN w:val="0"/>
        <w:adjustRightInd w:val="0"/>
        <w:spacing w:after="240"/>
        <w:ind w:firstLine="720"/>
        <w:rPr>
          <w:rFonts w:cs="Times New Roman"/>
          <w:color w:val="000000"/>
          <w:szCs w:val="24"/>
        </w:rPr>
      </w:pPr>
      <w:r>
        <w:rPr>
          <w:rFonts w:cs="Times New Roman"/>
          <w:color w:val="000000"/>
          <w:szCs w:val="24"/>
        </w:rPr>
        <w:t>13.</w:t>
      </w:r>
      <w:r>
        <w:rPr>
          <w:rFonts w:cs="Times New Roman"/>
          <w:color w:val="000000"/>
          <w:szCs w:val="24"/>
        </w:rPr>
        <w:tab/>
        <w:t xml:space="preserve">The facts of this case are similar to those in </w:t>
      </w:r>
      <w:r w:rsidRPr="00D04769">
        <w:rPr>
          <w:rFonts w:cs="Times New Roman"/>
          <w:i/>
          <w:color w:val="000000"/>
          <w:szCs w:val="24"/>
        </w:rPr>
        <w:t>JaD.Y.</w:t>
      </w:r>
      <w:r>
        <w:rPr>
          <w:rFonts w:cs="Times New Roman"/>
          <w:color w:val="000000"/>
          <w:szCs w:val="24"/>
        </w:rPr>
        <w:t xml:space="preserve"> In that case, the husband lied to the wife about having been married twice before. The wife testified that the husband lied to her about having been married twice before. The wife testified that “</w:t>
      </w:r>
      <w:r w:rsidRPr="00D04769">
        <w:rPr>
          <w:rFonts w:cs="Times New Roman"/>
          <w:color w:val="000000"/>
          <w:szCs w:val="24"/>
        </w:rPr>
        <w:t xml:space="preserve">if she had known about the second marriage, she </w:t>
      </w:r>
      <w:r>
        <w:rPr>
          <w:rFonts w:cs="Times New Roman"/>
          <w:color w:val="000000"/>
          <w:szCs w:val="24"/>
        </w:rPr>
        <w:t>‘</w:t>
      </w:r>
      <w:r w:rsidRPr="00D04769">
        <w:rPr>
          <w:rFonts w:cs="Times New Roman"/>
          <w:color w:val="000000"/>
          <w:szCs w:val="24"/>
        </w:rPr>
        <w:t>very likely would not have married</w:t>
      </w:r>
      <w:r>
        <w:rPr>
          <w:rFonts w:cs="Times New Roman"/>
          <w:color w:val="000000"/>
          <w:szCs w:val="24"/>
        </w:rPr>
        <w:t xml:space="preserve"> [the husband]’” </w:t>
      </w:r>
      <w:r>
        <w:rPr>
          <w:rFonts w:cs="Times New Roman"/>
          <w:i/>
          <w:color w:val="000000"/>
          <w:szCs w:val="24"/>
        </w:rPr>
        <w:t xml:space="preserve">In re JaD.Y., </w:t>
      </w:r>
      <w:r w:rsidRPr="00D04769">
        <w:rPr>
          <w:rFonts w:cs="Times New Roman"/>
          <w:color w:val="000000"/>
          <w:szCs w:val="24"/>
        </w:rPr>
        <w:t>2018 WL 3424359</w:t>
      </w:r>
      <w:r>
        <w:rPr>
          <w:rFonts w:cs="Times New Roman"/>
          <w:color w:val="000000"/>
          <w:szCs w:val="24"/>
        </w:rPr>
        <w:t xml:space="preserve"> at *3. The appellate court held that this evidence was </w:t>
      </w:r>
      <w:r w:rsidRPr="00D04769">
        <w:rPr>
          <w:rFonts w:cs="Times New Roman"/>
          <w:color w:val="000000"/>
          <w:szCs w:val="24"/>
        </w:rPr>
        <w:t>legally and factually sufficient evidence to support th</w:t>
      </w:r>
      <w:r>
        <w:rPr>
          <w:rFonts w:cs="Times New Roman"/>
          <w:color w:val="000000"/>
          <w:szCs w:val="24"/>
        </w:rPr>
        <w:t xml:space="preserve">e trial court’s finding of fact that the husband had lied to the wife about his former marriages, which was one of the bases for the trial court’s annulment of the marriage based on fraud. </w:t>
      </w:r>
      <w:r>
        <w:rPr>
          <w:rFonts w:cs="Times New Roman"/>
          <w:i/>
          <w:color w:val="000000"/>
          <w:szCs w:val="24"/>
        </w:rPr>
        <w:t xml:space="preserve">Id. </w:t>
      </w:r>
      <w:r>
        <w:rPr>
          <w:rFonts w:cs="Times New Roman"/>
          <w:color w:val="000000"/>
          <w:szCs w:val="24"/>
        </w:rPr>
        <w:t xml:space="preserve">at *2-3. As a consequence of affirming the annulment, the appellate court also concluded the parties’ premarital agreement was unenforceable. </w:t>
      </w:r>
      <w:r>
        <w:rPr>
          <w:rFonts w:cs="Times New Roman"/>
          <w:i/>
          <w:color w:val="000000"/>
          <w:szCs w:val="24"/>
        </w:rPr>
        <w:t xml:space="preserve">Id. </w:t>
      </w:r>
      <w:r>
        <w:rPr>
          <w:rFonts w:cs="Times New Roman"/>
          <w:color w:val="000000"/>
          <w:szCs w:val="24"/>
        </w:rPr>
        <w:t>at *6.</w:t>
      </w:r>
    </w:p>
    <w:p w14:paraId="1E7D62BC" w14:textId="77777777" w:rsidR="00EA605F" w:rsidRPr="00532EE2" w:rsidRDefault="00EA605F" w:rsidP="00EA605F">
      <w:pPr>
        <w:pStyle w:val="Para"/>
        <w:rPr>
          <w:w w:val="100"/>
        </w:rPr>
      </w:pPr>
      <w:r>
        <w:lastRenderedPageBreak/>
        <w:t xml:space="preserve">The Court should annul this marriage and find the Premarital Agreement to be unenforceable except </w:t>
      </w:r>
      <w:r w:rsidRPr="00D04769">
        <w:t>to the extent necessary to avoid an inequitable result</w:t>
      </w:r>
      <w:r>
        <w:t>.</w:t>
      </w:r>
      <w:r w:rsidR="00265E1E" w:rsidRPr="00D04769">
        <w:t xml:space="preserve"> </w:t>
      </w:r>
    </w:p>
    <w:p w14:paraId="4B41992B" w14:textId="77777777" w:rsidR="00EA605F" w:rsidRDefault="00EA605F" w:rsidP="00EA605F">
      <w:pPr>
        <w:autoSpaceDE w:val="0"/>
        <w:autoSpaceDN w:val="0"/>
        <w:adjustRightInd w:val="0"/>
        <w:ind w:left="3600" w:firstLine="720"/>
      </w:pPr>
    </w:p>
    <w:p w14:paraId="2E9DDC6A" w14:textId="77777777" w:rsidR="00EA605F" w:rsidRDefault="00EA605F" w:rsidP="00EA605F">
      <w:pPr>
        <w:autoSpaceDE w:val="0"/>
        <w:autoSpaceDN w:val="0"/>
        <w:adjustRightInd w:val="0"/>
        <w:ind w:left="3600" w:firstLine="720"/>
      </w:pPr>
    </w:p>
    <w:p w14:paraId="791DA785" w14:textId="77777777" w:rsidR="00EA605F" w:rsidRPr="00532EE2" w:rsidRDefault="00EA605F" w:rsidP="00EA605F">
      <w:pPr>
        <w:autoSpaceDE w:val="0"/>
        <w:autoSpaceDN w:val="0"/>
        <w:adjustRightInd w:val="0"/>
        <w:ind w:left="3600" w:firstLine="720"/>
      </w:pPr>
      <w:r w:rsidRPr="00532EE2">
        <w:t>Respectfully Submitted,</w:t>
      </w:r>
    </w:p>
    <w:p w14:paraId="01B0916E" w14:textId="77777777" w:rsidR="00EA605F" w:rsidRPr="00532EE2" w:rsidRDefault="00EA605F" w:rsidP="00EA605F">
      <w:pPr>
        <w:autoSpaceDE w:val="0"/>
        <w:autoSpaceDN w:val="0"/>
        <w:adjustRightInd w:val="0"/>
        <w:ind w:firstLine="720"/>
      </w:pPr>
    </w:p>
    <w:p w14:paraId="6DC7E307" w14:textId="77777777" w:rsidR="00EA605F" w:rsidRPr="00532EE2" w:rsidRDefault="00EA605F" w:rsidP="00EA605F">
      <w:pPr>
        <w:autoSpaceDE w:val="0"/>
        <w:autoSpaceDN w:val="0"/>
        <w:adjustRightInd w:val="0"/>
        <w:ind w:left="3600" w:firstLine="720"/>
      </w:pPr>
      <w:r w:rsidRPr="00532EE2">
        <w:t>Hays, Haston &amp; Wrampelmeier</w:t>
      </w:r>
    </w:p>
    <w:p w14:paraId="285D7AFC" w14:textId="77777777" w:rsidR="00EA605F" w:rsidRPr="00532EE2" w:rsidRDefault="00EA605F" w:rsidP="00EA605F">
      <w:pPr>
        <w:autoSpaceDE w:val="0"/>
        <w:autoSpaceDN w:val="0"/>
        <w:adjustRightInd w:val="0"/>
        <w:ind w:left="3600" w:firstLine="720"/>
      </w:pPr>
      <w:r w:rsidRPr="00532EE2">
        <w:t xml:space="preserve">1850 Sycamore Street, </w:t>
      </w:r>
    </w:p>
    <w:p w14:paraId="2543CE45" w14:textId="77777777" w:rsidR="00EA605F" w:rsidRPr="00532EE2" w:rsidRDefault="00EA605F" w:rsidP="00EA605F">
      <w:pPr>
        <w:autoSpaceDE w:val="0"/>
        <w:autoSpaceDN w:val="0"/>
        <w:adjustRightInd w:val="0"/>
        <w:ind w:left="3600" w:firstLine="720"/>
      </w:pPr>
      <w:r w:rsidRPr="00532EE2">
        <w:t>Denton, Texas 76025</w:t>
      </w:r>
    </w:p>
    <w:p w14:paraId="354CF3CD" w14:textId="77777777" w:rsidR="00EA605F" w:rsidRPr="00532EE2" w:rsidRDefault="00EA605F" w:rsidP="00EA605F">
      <w:pPr>
        <w:autoSpaceDE w:val="0"/>
        <w:autoSpaceDN w:val="0"/>
        <w:adjustRightInd w:val="0"/>
        <w:ind w:left="3600" w:firstLine="720"/>
      </w:pPr>
      <w:r w:rsidRPr="00532EE2">
        <w:t>Tel: (xxx) xxx-xxxx</w:t>
      </w:r>
    </w:p>
    <w:p w14:paraId="6431C4EE" w14:textId="77777777" w:rsidR="00EA605F" w:rsidRPr="00532EE2" w:rsidRDefault="00EA605F" w:rsidP="00EA605F">
      <w:pPr>
        <w:autoSpaceDE w:val="0"/>
        <w:autoSpaceDN w:val="0"/>
        <w:adjustRightInd w:val="0"/>
        <w:ind w:left="3600" w:firstLine="720"/>
      </w:pPr>
      <w:r w:rsidRPr="00532EE2">
        <w:t>Fax: (xxx) xxx-xxxx</w:t>
      </w:r>
    </w:p>
    <w:p w14:paraId="645CC6E9" w14:textId="77777777" w:rsidR="00EA605F" w:rsidRPr="00532EE2" w:rsidRDefault="00EA605F" w:rsidP="00EA605F">
      <w:pPr>
        <w:tabs>
          <w:tab w:val="left" w:pos="4680"/>
        </w:tabs>
        <w:autoSpaceDE w:val="0"/>
        <w:autoSpaceDN w:val="0"/>
        <w:adjustRightInd w:val="0"/>
        <w:ind w:left="3600" w:firstLine="720"/>
      </w:pPr>
      <w:r w:rsidRPr="00532EE2">
        <w:t>E-mail: Chris@HHW.com</w:t>
      </w:r>
    </w:p>
    <w:p w14:paraId="5647BA6D" w14:textId="77777777" w:rsidR="00EA605F" w:rsidRPr="00532EE2" w:rsidRDefault="00EA605F" w:rsidP="00EA605F">
      <w:pPr>
        <w:autoSpaceDE w:val="0"/>
        <w:autoSpaceDN w:val="0"/>
        <w:adjustRightInd w:val="0"/>
        <w:ind w:left="3600" w:firstLine="720"/>
      </w:pPr>
    </w:p>
    <w:p w14:paraId="18C7C303" w14:textId="77777777" w:rsidR="00EA605F" w:rsidRPr="00532EE2" w:rsidRDefault="00EA605F" w:rsidP="00EA605F">
      <w:pPr>
        <w:autoSpaceDE w:val="0"/>
        <w:autoSpaceDN w:val="0"/>
        <w:adjustRightInd w:val="0"/>
        <w:ind w:left="3600" w:firstLine="720"/>
      </w:pPr>
    </w:p>
    <w:p w14:paraId="429114A5" w14:textId="77777777" w:rsidR="00EA605F" w:rsidRPr="00532EE2" w:rsidRDefault="00EA605F" w:rsidP="00EA605F">
      <w:pPr>
        <w:autoSpaceDE w:val="0"/>
        <w:autoSpaceDN w:val="0"/>
        <w:adjustRightInd w:val="0"/>
        <w:ind w:left="3600" w:firstLine="720"/>
      </w:pPr>
    </w:p>
    <w:p w14:paraId="52D1CD84" w14:textId="77777777" w:rsidR="00EA605F" w:rsidRPr="00532EE2" w:rsidRDefault="00EA605F" w:rsidP="00EA605F">
      <w:pPr>
        <w:autoSpaceDE w:val="0"/>
        <w:autoSpaceDN w:val="0"/>
        <w:adjustRightInd w:val="0"/>
        <w:ind w:left="3600" w:firstLine="720"/>
        <w:rPr>
          <w:u w:val="single"/>
        </w:rPr>
      </w:pPr>
      <w:r w:rsidRPr="00532EE2">
        <w:t xml:space="preserve">By: </w:t>
      </w:r>
      <w:r w:rsidRPr="00532EE2">
        <w:rPr>
          <w:u w:val="single"/>
        </w:rPr>
        <w:t>/s/ Christopher K. Wrampelmeier</w:t>
      </w:r>
      <w:r w:rsidRPr="00532EE2">
        <w:rPr>
          <w:u w:val="single"/>
        </w:rPr>
        <w:tab/>
      </w:r>
      <w:r w:rsidRPr="00532EE2">
        <w:rPr>
          <w:u w:val="single"/>
        </w:rPr>
        <w:tab/>
      </w:r>
    </w:p>
    <w:p w14:paraId="55C6170B" w14:textId="77777777" w:rsidR="00EA605F" w:rsidRPr="00532EE2" w:rsidRDefault="00EA605F" w:rsidP="00EA605F">
      <w:pPr>
        <w:tabs>
          <w:tab w:val="left" w:pos="4680"/>
        </w:tabs>
        <w:autoSpaceDE w:val="0"/>
        <w:autoSpaceDN w:val="0"/>
        <w:adjustRightInd w:val="0"/>
        <w:ind w:left="3600" w:firstLine="720"/>
      </w:pPr>
      <w:r w:rsidRPr="00532EE2">
        <w:tab/>
        <w:t>Christopher K. Wrampelmeier</w:t>
      </w:r>
    </w:p>
    <w:p w14:paraId="2B6EF5E3" w14:textId="77777777" w:rsidR="00EA605F" w:rsidRPr="00532EE2" w:rsidRDefault="00EA605F" w:rsidP="00EA605F">
      <w:pPr>
        <w:tabs>
          <w:tab w:val="left" w:pos="4680"/>
        </w:tabs>
        <w:autoSpaceDE w:val="0"/>
        <w:autoSpaceDN w:val="0"/>
        <w:adjustRightInd w:val="0"/>
        <w:ind w:left="3600" w:firstLine="720"/>
      </w:pPr>
      <w:r w:rsidRPr="00532EE2">
        <w:tab/>
        <w:t>State Bar No. 00788721</w:t>
      </w:r>
    </w:p>
    <w:p w14:paraId="5ADBC6BA" w14:textId="77777777" w:rsidR="00EA605F" w:rsidRPr="00532EE2" w:rsidRDefault="00EA605F" w:rsidP="00EA605F">
      <w:pPr>
        <w:tabs>
          <w:tab w:val="left" w:pos="4680"/>
        </w:tabs>
        <w:autoSpaceDE w:val="0"/>
        <w:autoSpaceDN w:val="0"/>
        <w:adjustRightInd w:val="0"/>
        <w:ind w:left="3600" w:firstLine="720"/>
      </w:pPr>
      <w:r w:rsidRPr="00532EE2">
        <w:tab/>
        <w:t xml:space="preserve">Attorney for ALLISON GELBE-PINKUS, </w:t>
      </w:r>
    </w:p>
    <w:p w14:paraId="3C63AF6D" w14:textId="77777777" w:rsidR="00EA605F" w:rsidRDefault="00EA605F" w:rsidP="00EA605F">
      <w:pPr>
        <w:tabs>
          <w:tab w:val="left" w:pos="4680"/>
        </w:tabs>
        <w:autoSpaceDE w:val="0"/>
        <w:autoSpaceDN w:val="0"/>
        <w:adjustRightInd w:val="0"/>
        <w:ind w:left="4680"/>
      </w:pPr>
      <w:r w:rsidRPr="00532EE2">
        <w:t>Petitioner</w:t>
      </w:r>
    </w:p>
    <w:p w14:paraId="574DCAFA" w14:textId="77777777" w:rsidR="00EA605F" w:rsidRDefault="00EA605F" w:rsidP="00EA605F">
      <w:pPr>
        <w:tabs>
          <w:tab w:val="left" w:pos="4320"/>
        </w:tabs>
      </w:pPr>
    </w:p>
    <w:p w14:paraId="5E70C59D" w14:textId="77777777" w:rsidR="00EA605F" w:rsidRDefault="00EA605F" w:rsidP="00EA6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5A0E59" w14:textId="77777777" w:rsidR="00EA605F" w:rsidRPr="00932C10" w:rsidRDefault="00EA605F" w:rsidP="00EA605F">
      <w:pPr>
        <w:autoSpaceDE w:val="0"/>
        <w:autoSpaceDN w:val="0"/>
        <w:adjustRightInd w:val="0"/>
        <w:spacing w:line="480" w:lineRule="auto"/>
        <w:jc w:val="center"/>
      </w:pPr>
      <w:r w:rsidRPr="00932C10">
        <w:rPr>
          <w:b/>
        </w:rPr>
        <w:t>Certificate of Service</w:t>
      </w:r>
    </w:p>
    <w:p w14:paraId="44E53EE7" w14:textId="05B8E18B" w:rsidR="00EA605F" w:rsidRDefault="00EA605F" w:rsidP="00EA605F">
      <w:pPr>
        <w:autoSpaceDE w:val="0"/>
        <w:autoSpaceDN w:val="0"/>
        <w:adjustRightInd w:val="0"/>
        <w:spacing w:after="240"/>
        <w:ind w:firstLine="720"/>
      </w:pPr>
      <w:r w:rsidRPr="00932C10">
        <w:t xml:space="preserve">I certify that a true copy of the above was served on </w:t>
      </w:r>
      <w:r w:rsidRPr="00532EE2">
        <w:rPr>
          <w:w w:val="105"/>
        </w:rPr>
        <w:t>Cindy V. Tisdale</w:t>
      </w:r>
      <w:r>
        <w:t xml:space="preserve"> through the electronic filing manager</w:t>
      </w:r>
      <w:r w:rsidRPr="00932C10">
        <w:t xml:space="preserve"> in accordance with the Texas Rules of Civil Procedure on </w:t>
      </w:r>
      <w:r>
        <w:t>February 21</w:t>
      </w:r>
      <w:bookmarkStart w:id="1" w:name="_GoBack"/>
      <w:bookmarkEnd w:id="1"/>
      <w:r>
        <w:rPr>
          <w:lang w:val="en"/>
        </w:rPr>
        <w:t>, 2019</w:t>
      </w:r>
      <w:r w:rsidRPr="00932C10">
        <w:t>.</w:t>
      </w:r>
    </w:p>
    <w:p w14:paraId="29AB0434" w14:textId="77777777" w:rsidR="00EA605F" w:rsidRPr="00932C10" w:rsidRDefault="00EA605F" w:rsidP="00EA605F">
      <w:pPr>
        <w:tabs>
          <w:tab w:val="left" w:pos="4320"/>
          <w:tab w:val="right" w:pos="9360"/>
        </w:tabs>
        <w:autoSpaceDE w:val="0"/>
        <w:autoSpaceDN w:val="0"/>
        <w:adjustRightInd w:val="0"/>
        <w:ind w:left="4320"/>
        <w:rPr>
          <w:u w:val="single"/>
        </w:rPr>
      </w:pPr>
      <w:r>
        <w:rPr>
          <w:u w:val="single"/>
        </w:rPr>
        <w:t>/s/Christopher K. Wrampelmeier</w:t>
      </w:r>
      <w:r w:rsidRPr="00932C10">
        <w:rPr>
          <w:u w:val="single"/>
        </w:rPr>
        <w:tab/>
      </w:r>
    </w:p>
    <w:p w14:paraId="20CD0207" w14:textId="77777777" w:rsidR="00EA605F" w:rsidRPr="00932C10" w:rsidRDefault="00EA605F" w:rsidP="00EA605F">
      <w:pPr>
        <w:tabs>
          <w:tab w:val="left" w:pos="4320"/>
        </w:tabs>
        <w:autoSpaceDE w:val="0"/>
        <w:autoSpaceDN w:val="0"/>
        <w:adjustRightInd w:val="0"/>
        <w:ind w:left="4320"/>
      </w:pPr>
      <w:r w:rsidRPr="00932C10">
        <w:t>Christopher K. Wrampelmeier</w:t>
      </w:r>
    </w:p>
    <w:p w14:paraId="49F5D237" w14:textId="113F934E" w:rsidR="0049273A" w:rsidRPr="00EA605F" w:rsidRDefault="00EA605F" w:rsidP="00EA605F">
      <w:pPr>
        <w:tabs>
          <w:tab w:val="left" w:pos="4320"/>
        </w:tabs>
        <w:autoSpaceDE w:val="0"/>
        <w:autoSpaceDN w:val="0"/>
        <w:adjustRightInd w:val="0"/>
        <w:ind w:left="4320"/>
      </w:pPr>
      <w:r w:rsidRPr="00932C10">
        <w:t xml:space="preserve">Attorney for </w:t>
      </w:r>
      <w:r>
        <w:t>Petitioner</w:t>
      </w:r>
    </w:p>
    <w:sectPr w:rsidR="0049273A" w:rsidRPr="00EA60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D50F" w14:textId="77777777" w:rsidR="00135844" w:rsidRDefault="00135844" w:rsidP="00265E1E">
      <w:r>
        <w:separator/>
      </w:r>
    </w:p>
  </w:endnote>
  <w:endnote w:type="continuationSeparator" w:id="0">
    <w:p w14:paraId="793CC250" w14:textId="77777777" w:rsidR="00135844" w:rsidRDefault="00135844" w:rsidP="00265E1E">
      <w:r>
        <w:continuationSeparator/>
      </w:r>
    </w:p>
  </w:endnote>
  <w:endnote w:type="continuationNotice" w:id="1">
    <w:p w14:paraId="6F65A2F4" w14:textId="77777777" w:rsidR="00135844" w:rsidRDefault="00135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2713" w14:textId="34111B39" w:rsidR="00265E1E" w:rsidRPr="00D04769" w:rsidRDefault="00265E1E">
    <w:pPr>
      <w:pStyle w:val="Footer"/>
      <w:rPr>
        <w:rFonts w:cs="Times New Roman"/>
        <w:sz w:val="20"/>
        <w:szCs w:val="20"/>
      </w:rPr>
    </w:pPr>
    <w:r w:rsidRPr="00D04769">
      <w:rPr>
        <w:rFonts w:cs="Times New Roman"/>
        <w:sz w:val="20"/>
        <w:szCs w:val="20"/>
      </w:rPr>
      <w:t xml:space="preserve">Trial Brief </w:t>
    </w:r>
    <w:r w:rsidR="00D04769" w:rsidRPr="00D04769">
      <w:rPr>
        <w:rFonts w:cs="Times New Roman"/>
        <w:sz w:val="20"/>
        <w:szCs w:val="20"/>
      </w:rPr>
      <w:t>on Grounds for Annulment—</w:t>
    </w:r>
    <w:r w:rsidRPr="00D04769">
      <w:rPr>
        <w:rFonts w:cs="Times New Roman"/>
        <w:sz w:val="20"/>
        <w:szCs w:val="20"/>
      </w:rPr>
      <w:t xml:space="preserve">Page </w:t>
    </w:r>
    <w:r w:rsidRPr="00D04769">
      <w:rPr>
        <w:rFonts w:cs="Times New Roman"/>
        <w:sz w:val="20"/>
        <w:szCs w:val="20"/>
      </w:rPr>
      <w:fldChar w:fldCharType="begin"/>
    </w:r>
    <w:r w:rsidRPr="00D04769">
      <w:rPr>
        <w:rFonts w:cs="Times New Roman"/>
        <w:sz w:val="20"/>
        <w:szCs w:val="20"/>
      </w:rPr>
      <w:instrText xml:space="preserve"> PAGE   \* MERGEFORMAT </w:instrText>
    </w:r>
    <w:r w:rsidRPr="00D04769">
      <w:rPr>
        <w:rFonts w:cs="Times New Roman"/>
        <w:sz w:val="20"/>
        <w:szCs w:val="20"/>
      </w:rPr>
      <w:fldChar w:fldCharType="separate"/>
    </w:r>
    <w:r w:rsidR="002E11AA" w:rsidRPr="00D04769">
      <w:rPr>
        <w:rFonts w:cs="Times New Roman"/>
        <w:noProof/>
        <w:sz w:val="20"/>
        <w:szCs w:val="20"/>
      </w:rPr>
      <w:t>3</w:t>
    </w:r>
    <w:r w:rsidRPr="00D04769">
      <w:rPr>
        <w:rFonts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A8DC" w14:textId="77777777" w:rsidR="00135844" w:rsidRDefault="00135844" w:rsidP="00265E1E">
      <w:r>
        <w:separator/>
      </w:r>
    </w:p>
  </w:footnote>
  <w:footnote w:type="continuationSeparator" w:id="0">
    <w:p w14:paraId="3CAB22EE" w14:textId="77777777" w:rsidR="00135844" w:rsidRDefault="00135844" w:rsidP="00265E1E">
      <w:r>
        <w:continuationSeparator/>
      </w:r>
    </w:p>
  </w:footnote>
  <w:footnote w:type="continuationNotice" w:id="1">
    <w:p w14:paraId="0937F118" w14:textId="77777777" w:rsidR="00135844" w:rsidRDefault="00135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860E0"/>
    <w:multiLevelType w:val="hybridMultilevel"/>
    <w:tmpl w:val="DFA2CDCA"/>
    <w:lvl w:ilvl="0" w:tplc="C64E16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8E94966"/>
    <w:multiLevelType w:val="multilevel"/>
    <w:tmpl w:val="1AE4F328"/>
    <w:lvl w:ilvl="0">
      <w:start w:val="1"/>
      <w:numFmt w:val="decimal"/>
      <w:pStyle w:val="Heading1"/>
      <w:lvlText w:val="%1."/>
      <w:lvlJc w:val="left"/>
      <w:pPr>
        <w:ind w:left="720" w:hanging="720"/>
      </w:pPr>
      <w:rPr>
        <w:rFonts w:ascii="Times New Roman Bold" w:hAnsi="Times New Roman Bold" w:hint="default"/>
        <w:b/>
        <w:i/>
        <w:vanish/>
        <w:sz w:val="24"/>
      </w:rPr>
    </w:lvl>
    <w:lvl w:ilvl="1">
      <w:start w:val="1"/>
      <w:numFmt w:val="decimal"/>
      <w:pStyle w:val="Heading2"/>
      <w:lvlText w:val="%1.%2."/>
      <w:lvlJc w:val="left"/>
      <w:pPr>
        <w:ind w:left="1440" w:hanging="720"/>
      </w:pPr>
      <w:rPr>
        <w:rFonts w:ascii="Times New Roman" w:hAnsi="Times New Roman" w:cs="Times New Roman"/>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360"/>
      </w:pPr>
      <w:rPr>
        <w:rFonts w:ascii="Times New Roman" w:hAnsi="Times New Roman" w:cs="Times New Roman"/>
        <w:i/>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54D2D49"/>
    <w:multiLevelType w:val="hybridMultilevel"/>
    <w:tmpl w:val="FE080106"/>
    <w:lvl w:ilvl="0" w:tplc="1D3E289A">
      <w:start w:val="1"/>
      <w:numFmt w:val="decimal"/>
      <w:lvlText w:val="%1."/>
      <w:lvlJc w:val="left"/>
      <w:pPr>
        <w:ind w:left="1860" w:hanging="360"/>
      </w:pPr>
      <w:rPr>
        <w:rFonts w:cs="Times New Roman" w:hint="default"/>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6E23738D"/>
    <w:multiLevelType w:val="hybridMultilevel"/>
    <w:tmpl w:val="334A0B5E"/>
    <w:lvl w:ilvl="0" w:tplc="B644D9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1E"/>
    <w:rsid w:val="00135844"/>
    <w:rsid w:val="00265E1E"/>
    <w:rsid w:val="002E11AA"/>
    <w:rsid w:val="00400148"/>
    <w:rsid w:val="0042786D"/>
    <w:rsid w:val="0049273A"/>
    <w:rsid w:val="0071779B"/>
    <w:rsid w:val="00823DA6"/>
    <w:rsid w:val="0087304A"/>
    <w:rsid w:val="00973105"/>
    <w:rsid w:val="009E49A3"/>
    <w:rsid w:val="00A43CD3"/>
    <w:rsid w:val="00A670EE"/>
    <w:rsid w:val="00B900E6"/>
    <w:rsid w:val="00BB41B1"/>
    <w:rsid w:val="00C45557"/>
    <w:rsid w:val="00C60185"/>
    <w:rsid w:val="00C751C7"/>
    <w:rsid w:val="00CE5012"/>
    <w:rsid w:val="00D04769"/>
    <w:rsid w:val="00D655B2"/>
    <w:rsid w:val="00DB3E07"/>
    <w:rsid w:val="00E417AA"/>
    <w:rsid w:val="00EA605F"/>
    <w:rsid w:val="00F3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E719"/>
  <w15:chartTrackingRefBased/>
  <w15:docId w15:val="{79DA5DA1-EAD5-4FC3-9F2E-57D904D0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769"/>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F32ABA"/>
    <w:pPr>
      <w:keepNext/>
      <w:numPr>
        <w:numId w:val="4"/>
      </w:numPr>
      <w:spacing w:before="240" w:after="60"/>
      <w:outlineLvl w:val="0"/>
    </w:pPr>
    <w:rPr>
      <w:rFonts w:ascii="Times New Roman Bold" w:eastAsia="Times New Roman" w:hAnsi="Times New Roman Bold" w:cs="Times New Roman"/>
      <w:b/>
      <w:bCs/>
      <w:vanish/>
      <w:color w:val="FF0000"/>
      <w:kern w:val="32"/>
      <w:szCs w:val="32"/>
    </w:rPr>
  </w:style>
  <w:style w:type="paragraph" w:styleId="Heading2">
    <w:name w:val="heading 2"/>
    <w:basedOn w:val="Normal"/>
    <w:next w:val="Paragraph"/>
    <w:link w:val="Heading2Char"/>
    <w:qFormat/>
    <w:rsid w:val="00F32ABA"/>
    <w:pPr>
      <w:keepNext/>
      <w:numPr>
        <w:ilvl w:val="1"/>
        <w:numId w:val="4"/>
      </w:numPr>
      <w:spacing w:after="240"/>
      <w:outlineLvl w:val="1"/>
    </w:pPr>
    <w:rPr>
      <w:rFonts w:eastAsia="Times New Roman" w:cs="Times New Roman"/>
      <w:b/>
      <w:bCs/>
      <w:i/>
      <w:iCs/>
      <w:szCs w:val="28"/>
    </w:rPr>
  </w:style>
  <w:style w:type="paragraph" w:styleId="Heading3">
    <w:name w:val="heading 3"/>
    <w:basedOn w:val="Normal"/>
    <w:next w:val="MacroText"/>
    <w:link w:val="Heading3Char"/>
    <w:qFormat/>
    <w:rsid w:val="00F32ABA"/>
    <w:pPr>
      <w:numPr>
        <w:ilvl w:val="2"/>
        <w:numId w:val="4"/>
      </w:numPr>
      <w:spacing w:before="240" w:after="60"/>
      <w:outlineLvl w:val="2"/>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1E"/>
    <w:pPr>
      <w:ind w:left="720"/>
      <w:contextualSpacing/>
    </w:pPr>
    <w:rPr>
      <w:rFonts w:eastAsia="Times New Roman" w:cs="Times New Roman"/>
    </w:rPr>
  </w:style>
  <w:style w:type="paragraph" w:customStyle="1" w:styleId="Para">
    <w:name w:val="Para"/>
    <w:uiPriority w:val="99"/>
    <w:rsid w:val="00265E1E"/>
    <w:pPr>
      <w:widowControl w:val="0"/>
      <w:tabs>
        <w:tab w:val="right" w:leader="underscore" w:pos="9000"/>
      </w:tabs>
      <w:suppressAutoHyphens/>
      <w:autoSpaceDE w:val="0"/>
      <w:autoSpaceDN w:val="0"/>
      <w:adjustRightInd w:val="0"/>
      <w:spacing w:after="240" w:line="280" w:lineRule="atLeast"/>
      <w:ind w:firstLine="720"/>
    </w:pPr>
    <w:rPr>
      <w:rFonts w:ascii="Times New Roman" w:eastAsia="Times New Roman" w:hAnsi="Times New Roman" w:cs="Times New Roman"/>
      <w:color w:val="000000"/>
      <w:w w:val="0"/>
      <w:sz w:val="24"/>
      <w:szCs w:val="24"/>
    </w:rPr>
  </w:style>
  <w:style w:type="paragraph" w:customStyle="1" w:styleId="Paragraph">
    <w:name w:val="Paragraph"/>
    <w:basedOn w:val="Normal"/>
    <w:link w:val="ParagraphChar"/>
    <w:qFormat/>
    <w:rsid w:val="00265E1E"/>
    <w:pPr>
      <w:tabs>
        <w:tab w:val="left" w:pos="1440"/>
      </w:tabs>
      <w:autoSpaceDE w:val="0"/>
      <w:autoSpaceDN w:val="0"/>
      <w:adjustRightInd w:val="0"/>
      <w:spacing w:after="240" w:line="280" w:lineRule="atLeast"/>
      <w:ind w:firstLine="720"/>
    </w:pPr>
    <w:rPr>
      <w:rFonts w:eastAsia="Times New Roman" w:cs="Times New Roman"/>
      <w:szCs w:val="24"/>
    </w:rPr>
  </w:style>
  <w:style w:type="character" w:customStyle="1" w:styleId="ParagraphChar">
    <w:name w:val="Paragraph Char"/>
    <w:basedOn w:val="DefaultParagraphFont"/>
    <w:link w:val="Paragraph"/>
    <w:locked/>
    <w:rsid w:val="00265E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5E1E"/>
    <w:pPr>
      <w:tabs>
        <w:tab w:val="center" w:pos="4680"/>
        <w:tab w:val="right" w:pos="9360"/>
      </w:tabs>
    </w:pPr>
  </w:style>
  <w:style w:type="character" w:customStyle="1" w:styleId="HeaderChar">
    <w:name w:val="Header Char"/>
    <w:basedOn w:val="DefaultParagraphFont"/>
    <w:link w:val="Header"/>
    <w:uiPriority w:val="99"/>
    <w:rsid w:val="00265E1E"/>
  </w:style>
  <w:style w:type="paragraph" w:styleId="Footer">
    <w:name w:val="footer"/>
    <w:basedOn w:val="Normal"/>
    <w:link w:val="FooterChar"/>
    <w:uiPriority w:val="99"/>
    <w:unhideWhenUsed/>
    <w:rsid w:val="00265E1E"/>
    <w:pPr>
      <w:tabs>
        <w:tab w:val="center" w:pos="4680"/>
        <w:tab w:val="right" w:pos="9360"/>
      </w:tabs>
    </w:pPr>
  </w:style>
  <w:style w:type="character" w:customStyle="1" w:styleId="FooterChar">
    <w:name w:val="Footer Char"/>
    <w:basedOn w:val="DefaultParagraphFont"/>
    <w:link w:val="Footer"/>
    <w:uiPriority w:val="99"/>
    <w:rsid w:val="00265E1E"/>
  </w:style>
  <w:style w:type="paragraph" w:styleId="BalloonText">
    <w:name w:val="Balloon Text"/>
    <w:basedOn w:val="Normal"/>
    <w:link w:val="BalloonTextChar"/>
    <w:uiPriority w:val="99"/>
    <w:semiHidden/>
    <w:unhideWhenUsed/>
    <w:rsid w:val="00973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05"/>
    <w:rPr>
      <w:rFonts w:ascii="Segoe UI" w:hAnsi="Segoe UI" w:cs="Segoe UI"/>
      <w:sz w:val="18"/>
      <w:szCs w:val="18"/>
    </w:rPr>
  </w:style>
  <w:style w:type="character" w:styleId="Hyperlink">
    <w:name w:val="Hyperlink"/>
    <w:uiPriority w:val="2"/>
    <w:rsid w:val="00F32ABA"/>
    <w:rPr>
      <w:rFonts w:ascii="Times New Roman" w:hAnsi="Times New Roman" w:cs="Times New Roman"/>
      <w:color w:val="0563C1"/>
      <w:sz w:val="24"/>
      <w:u w:val="single"/>
    </w:rPr>
  </w:style>
  <w:style w:type="character" w:customStyle="1" w:styleId="Heading1Char">
    <w:name w:val="Heading 1 Char"/>
    <w:basedOn w:val="DefaultParagraphFont"/>
    <w:link w:val="Heading1"/>
    <w:rsid w:val="00F32ABA"/>
    <w:rPr>
      <w:rFonts w:ascii="Times New Roman Bold" w:eastAsia="Times New Roman" w:hAnsi="Times New Roman Bold" w:cs="Times New Roman"/>
      <w:b/>
      <w:bCs/>
      <w:vanish/>
      <w:color w:val="FF0000"/>
      <w:kern w:val="32"/>
      <w:sz w:val="24"/>
      <w:szCs w:val="32"/>
    </w:rPr>
  </w:style>
  <w:style w:type="character" w:customStyle="1" w:styleId="Heading2Char">
    <w:name w:val="Heading 2 Char"/>
    <w:basedOn w:val="DefaultParagraphFont"/>
    <w:link w:val="Heading2"/>
    <w:rsid w:val="00F32ABA"/>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rsid w:val="00F32ABA"/>
    <w:rPr>
      <w:rFonts w:ascii="Times New Roman" w:eastAsia="Times New Roman" w:hAnsi="Times New Roman" w:cs="Times New Roman"/>
      <w:b/>
      <w:bCs/>
      <w:sz w:val="24"/>
      <w:szCs w:val="26"/>
    </w:rPr>
  </w:style>
  <w:style w:type="paragraph" w:styleId="MacroText">
    <w:name w:val="macro"/>
    <w:link w:val="MacroTextChar"/>
    <w:uiPriority w:val="99"/>
    <w:semiHidden/>
    <w:unhideWhenUsed/>
    <w:rsid w:val="00F32A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32AB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stlaw.com/Link/Document/FullText?findType=L&amp;pubNum=1000175&amp;cite=TXFAS6.107&amp;originatingDoc=If2f58b00894f11e88d669565240b92b2&amp;refType=LQ&amp;originationContext=document&amp;vr=3.0&amp;rs=cblt1.0&amp;transitionType=DocumentItem&amp;contextData=(sc.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McLerran</dc:creator>
  <cp:keywords/>
  <dc:description/>
  <cp:lastModifiedBy>Chris Wrampelmeier</cp:lastModifiedBy>
  <cp:revision>5</cp:revision>
  <dcterms:created xsi:type="dcterms:W3CDTF">2019-02-21T15:26:00Z</dcterms:created>
  <dcterms:modified xsi:type="dcterms:W3CDTF">2019-02-21T19:59:00Z</dcterms:modified>
</cp:coreProperties>
</file>